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0D" w:rsidRDefault="00E4440D" w:rsidP="0054680B">
      <w:pPr>
        <w:pStyle w:val="OZNPROJEKTUwskazaniedatylubwersjiprojektu"/>
        <w:keepNext/>
      </w:pPr>
      <w:bookmarkStart w:id="0" w:name="_GoBack"/>
      <w:bookmarkEnd w:id="0"/>
      <w:r w:rsidRPr="00E4440D">
        <w:t xml:space="preserve">Projekt z dnia </w:t>
      </w:r>
      <w:r w:rsidR="008242CE">
        <w:t>11</w:t>
      </w:r>
      <w:r w:rsidR="00463C33">
        <w:t xml:space="preserve"> kwietnia</w:t>
      </w:r>
      <w:r w:rsidR="00F3053B">
        <w:t xml:space="preserve"> 2017</w:t>
      </w:r>
      <w:r w:rsidRPr="00E4440D">
        <w:t xml:space="preserve"> r.</w:t>
      </w:r>
    </w:p>
    <w:p w:rsidR="00260C2F" w:rsidRPr="00260C2F" w:rsidRDefault="00260C2F" w:rsidP="00C303D8">
      <w:pPr>
        <w:pStyle w:val="DATAAKTUdatauchwalenialubwydaniaaktu"/>
        <w:jc w:val="left"/>
      </w:pPr>
    </w:p>
    <w:p w:rsidR="00E4440D" w:rsidRPr="00E4440D" w:rsidRDefault="00E4440D" w:rsidP="00E4440D">
      <w:pPr>
        <w:pStyle w:val="OZNRODZAKTUtznustawalubrozporzdzenieiorganwydajcy"/>
      </w:pPr>
      <w:r w:rsidRPr="00E4440D">
        <w:t>ROZPORZĄDZENIE</w:t>
      </w:r>
    </w:p>
    <w:p w:rsidR="00E4440D" w:rsidRPr="008547BD" w:rsidRDefault="00E4440D" w:rsidP="00E4440D">
      <w:pPr>
        <w:pStyle w:val="OZNRODZAKTUtznustawalubrozporzdzenieiorganwydajcy"/>
      </w:pPr>
      <w:r w:rsidRPr="00E4440D">
        <w:t xml:space="preserve">MINISTRA INFRASTRUKTURY I </w:t>
      </w:r>
      <w:r w:rsidR="00302801">
        <w:t>budownictwa</w:t>
      </w:r>
      <w:r>
        <w:rPr>
          <w:rStyle w:val="Odwoanieprzypisudolnego"/>
        </w:rPr>
        <w:footnoteReference w:id="1"/>
      </w:r>
      <w:r w:rsidRPr="00E4440D">
        <w:rPr>
          <w:rStyle w:val="IGindeksgrny"/>
        </w:rPr>
        <w:t>)</w:t>
      </w:r>
    </w:p>
    <w:p w:rsidR="00E4440D" w:rsidRPr="00E4440D" w:rsidRDefault="00F3053B" w:rsidP="00E4440D">
      <w:pPr>
        <w:pStyle w:val="DATAAKTUdatauchwalenialubwydaniaaktu"/>
      </w:pPr>
      <w:r>
        <w:t>z dnia  ........................... 2017</w:t>
      </w:r>
      <w:r w:rsidR="00E4440D" w:rsidRPr="00E4440D">
        <w:t xml:space="preserve"> r.</w:t>
      </w:r>
    </w:p>
    <w:p w:rsidR="00260C2F" w:rsidRPr="00260C2F" w:rsidRDefault="00302801" w:rsidP="00C303D8">
      <w:pPr>
        <w:pStyle w:val="TYTUAKTUprzedmiotregulacjiustawylubrozporzdzenia"/>
      </w:pPr>
      <w:r>
        <w:t>w sprawie sposobu przewozu ładunk</w:t>
      </w:r>
      <w:r w:rsidR="00C40FCF">
        <w:t>u</w:t>
      </w:r>
      <w:r w:rsidR="008547BD">
        <w:rPr>
          <w:rStyle w:val="Odwoanieprzypisudolnego"/>
        </w:rPr>
        <w:footnoteReference w:id="2"/>
      </w:r>
      <w:r w:rsidR="008547BD">
        <w:rPr>
          <w:rStyle w:val="IGindeksgrny"/>
        </w:rPr>
        <w:t>)</w:t>
      </w:r>
      <w:r>
        <w:t xml:space="preserve"> </w:t>
      </w:r>
    </w:p>
    <w:p w:rsidR="00E4440D" w:rsidRPr="00E4440D" w:rsidRDefault="00302801" w:rsidP="00E4440D">
      <w:pPr>
        <w:pStyle w:val="NIEARTTEKSTtekstnieartykuowanynppodstprawnarozplubpreambua"/>
      </w:pPr>
      <w:r>
        <w:t>Na podstawie art. 61</w:t>
      </w:r>
      <w:r w:rsidR="00E4440D" w:rsidRPr="00E4440D">
        <w:t xml:space="preserve"> ust. </w:t>
      </w:r>
      <w:r>
        <w:t xml:space="preserve">17 </w:t>
      </w:r>
      <w:r w:rsidR="00E4440D" w:rsidRPr="00E4440D">
        <w:t xml:space="preserve">ustawy z dnia 20 czerwca 1997 r. – Prawo o ruchu drogowym (Dz. U. z </w:t>
      </w:r>
      <w:r w:rsidR="00F3053B">
        <w:t>2017</w:t>
      </w:r>
      <w:r w:rsidR="002C7DF5">
        <w:t xml:space="preserve"> r. poz. 1</w:t>
      </w:r>
      <w:r w:rsidR="00F3053B">
        <w:t>28</w:t>
      </w:r>
      <w:r w:rsidR="00C303D8">
        <w:t>,</w:t>
      </w:r>
      <w:r w:rsidR="00A24BE0">
        <w:t xml:space="preserve"> ze zm</w:t>
      </w:r>
      <w:r w:rsidR="008547BD">
        <w:t>.</w:t>
      </w:r>
      <w:r w:rsidR="008547BD">
        <w:rPr>
          <w:rStyle w:val="Odwoanieprzypisudolnego"/>
        </w:rPr>
        <w:footnoteReference w:id="3"/>
      </w:r>
      <w:r w:rsidR="008547BD">
        <w:rPr>
          <w:rStyle w:val="IGindeksgrny"/>
        </w:rPr>
        <w:t>)</w:t>
      </w:r>
      <w:r w:rsidR="008547BD">
        <w:t>)</w:t>
      </w:r>
      <w:r w:rsidR="00E4440D" w:rsidRPr="00E4440D">
        <w:t xml:space="preserve"> zarządza się, co następuje:</w:t>
      </w:r>
    </w:p>
    <w:p w:rsidR="00F427E5" w:rsidRDefault="00C93E6D" w:rsidP="00C10936">
      <w:pPr>
        <w:pStyle w:val="ARTartustawynprozporzdzenia"/>
      </w:pPr>
      <w:r w:rsidRPr="004120FA">
        <w:rPr>
          <w:rStyle w:val="Ppogrubienie"/>
        </w:rPr>
        <w:t>§ </w:t>
      </w:r>
      <w:r w:rsidR="00255407">
        <w:rPr>
          <w:rStyle w:val="Ppogrubienie"/>
        </w:rPr>
        <w:t>1</w:t>
      </w:r>
      <w:r w:rsidR="00F427E5">
        <w:rPr>
          <w:rStyle w:val="Ppogrubienie"/>
        </w:rPr>
        <w:t>.</w:t>
      </w:r>
      <w:r w:rsidR="00F427E5" w:rsidRPr="00823803">
        <w:t>1</w:t>
      </w:r>
      <w:r w:rsidR="00F427E5" w:rsidRPr="00E632F0">
        <w:rPr>
          <w:rStyle w:val="Ppogrubienie"/>
        </w:rPr>
        <w:t>.</w:t>
      </w:r>
      <w:r w:rsidR="00AE41B3" w:rsidRPr="00E632F0">
        <w:rPr>
          <w:rStyle w:val="Ppogrubienie"/>
        </w:rPr>
        <w:t xml:space="preserve"> </w:t>
      </w:r>
      <w:r w:rsidR="00D556E6" w:rsidRPr="00C10936">
        <w:t>Sposób mocowania ładunku</w:t>
      </w:r>
      <w:r w:rsidR="00C043A0" w:rsidRPr="00C10936">
        <w:t xml:space="preserve"> przeznaczonego do przewozu</w:t>
      </w:r>
      <w:r w:rsidR="00D556E6" w:rsidRPr="00C10936">
        <w:t xml:space="preserve"> powinien odpowiadać wymaganiom określonym w wytycznych Komisji Europejskiej dotyczących</w:t>
      </w:r>
      <w:r w:rsidR="00C043A0" w:rsidRPr="00C043A0">
        <w:t xml:space="preserve"> mocowania ładunków w transporcie drogowym</w:t>
      </w:r>
      <w:r w:rsidR="00F427E5">
        <w:rPr>
          <w:rStyle w:val="Odwoanieprzypisudolnego"/>
        </w:rPr>
        <w:footnoteReference w:id="4"/>
      </w:r>
      <w:r w:rsidR="00F427E5">
        <w:rPr>
          <w:rStyle w:val="IGindeksgrny"/>
        </w:rPr>
        <w:t>)</w:t>
      </w:r>
      <w:r w:rsidR="00F427E5">
        <w:t>.</w:t>
      </w:r>
    </w:p>
    <w:p w:rsidR="00F427E5" w:rsidRPr="00E632F0" w:rsidRDefault="00F427E5" w:rsidP="004B64F8">
      <w:pPr>
        <w:pStyle w:val="USTustnpkodeksu"/>
      </w:pPr>
      <w:r w:rsidRPr="00E632F0">
        <w:t xml:space="preserve">2. Ładunek </w:t>
      </w:r>
      <w:r w:rsidRPr="004B64F8">
        <w:t>powinien</w:t>
      </w:r>
      <w:r w:rsidRPr="00E632F0">
        <w:t xml:space="preserve"> być:</w:t>
      </w:r>
    </w:p>
    <w:p w:rsidR="0074187B" w:rsidRPr="00463C33" w:rsidRDefault="00F427E5" w:rsidP="00B10E7F">
      <w:pPr>
        <w:pStyle w:val="PKTpunkt"/>
      </w:pPr>
      <w:r w:rsidRPr="00463C33">
        <w:t xml:space="preserve">1) </w:t>
      </w:r>
      <w:r w:rsidR="00B10E7F">
        <w:tab/>
      </w:r>
      <w:r w:rsidRPr="00463C33">
        <w:t xml:space="preserve">umieszczony na pojeździe w sposób uniemożliwiający jego przemieszczanie podczas </w:t>
      </w:r>
      <w:r w:rsidR="00805574">
        <w:t>przewozu</w:t>
      </w:r>
      <w:r w:rsidR="00805574" w:rsidRPr="00463C33">
        <w:t xml:space="preserve"> </w:t>
      </w:r>
      <w:r w:rsidRPr="00463C33">
        <w:t xml:space="preserve"> w wyniku sił działających na ładunek</w:t>
      </w:r>
      <w:r w:rsidR="003874AE">
        <w:t>;</w:t>
      </w:r>
    </w:p>
    <w:p w:rsidR="00260C2F" w:rsidRDefault="00F427E5" w:rsidP="00260C2F">
      <w:pPr>
        <w:pStyle w:val="PKTpunkt"/>
      </w:pPr>
      <w:r>
        <w:t xml:space="preserve">2) </w:t>
      </w:r>
      <w:r w:rsidR="00B10E7F">
        <w:tab/>
      </w:r>
      <w:r w:rsidRPr="008E0D57">
        <w:t xml:space="preserve">rozmieszczony na </w:t>
      </w:r>
      <w:r>
        <w:t xml:space="preserve">pojeździe </w:t>
      </w:r>
      <w:r w:rsidRPr="008E0D57">
        <w:t xml:space="preserve">z uwzględnieniem </w:t>
      </w:r>
      <w:r>
        <w:t xml:space="preserve">konstrukcji pojazdu, rodzaju przewożonego ładunku oraz </w:t>
      </w:r>
      <w:r w:rsidRPr="008E0D57">
        <w:t>zaleceń producenta</w:t>
      </w:r>
      <w:r>
        <w:t>.</w:t>
      </w:r>
    </w:p>
    <w:p w:rsidR="000640C6" w:rsidRDefault="00F427E5" w:rsidP="000640C6">
      <w:pPr>
        <w:pStyle w:val="USTustnpkodeksu"/>
      </w:pPr>
      <w:r>
        <w:t>3.</w:t>
      </w:r>
      <w:r w:rsidR="00823803">
        <w:t xml:space="preserve"> </w:t>
      </w:r>
      <w:r w:rsidRPr="00E632F0">
        <w:t>Ładunek</w:t>
      </w:r>
      <w:r w:rsidR="00DD589E">
        <w:t>,</w:t>
      </w:r>
      <w:r w:rsidRPr="008547BD">
        <w:rPr>
          <w:rStyle w:val="Ppogrubienie"/>
        </w:rPr>
        <w:t xml:space="preserve"> </w:t>
      </w:r>
      <w:r w:rsidR="00B73AF7" w:rsidRPr="00B73AF7">
        <w:t>umieszczony na pojeździe</w:t>
      </w:r>
      <w:r w:rsidR="00DD589E">
        <w:t>,</w:t>
      </w:r>
      <w:r w:rsidR="00B73AF7" w:rsidRPr="00B73AF7">
        <w:t xml:space="preserve"> powinien być zabezpieczony </w:t>
      </w:r>
      <w:r w:rsidR="00B73AF7">
        <w:t xml:space="preserve">w </w:t>
      </w:r>
      <w:r w:rsidR="00F81AF0">
        <w:t>sposób uniemożliwiający jego przechylenie się albo wywrócenie</w:t>
      </w:r>
      <w:r w:rsidR="00805574">
        <w:t xml:space="preserve"> oraz</w:t>
      </w:r>
      <w:r w:rsidR="00F81AF0">
        <w:t xml:space="preserve"> </w:t>
      </w:r>
      <w:r w:rsidR="00056EA4">
        <w:t>pozwalający stawić opór</w:t>
      </w:r>
      <w:r w:rsidR="00F81AF0">
        <w:t xml:space="preserve"> następującym siłom wynikającym z  przyspieszenia</w:t>
      </w:r>
      <w:r w:rsidR="00F81AF0" w:rsidRPr="00F81AF0">
        <w:t xml:space="preserve"> albo </w:t>
      </w:r>
      <w:r w:rsidR="00F81AF0">
        <w:t>hamowania:</w:t>
      </w:r>
    </w:p>
    <w:p w:rsidR="000640C6" w:rsidRDefault="00F81AF0" w:rsidP="00A00CC9">
      <w:pPr>
        <w:pStyle w:val="PKTpunkt"/>
      </w:pPr>
      <w:r>
        <w:t xml:space="preserve">1) </w:t>
      </w:r>
      <w:r w:rsidRPr="00F81AF0">
        <w:rPr>
          <w:rFonts w:hint="eastAsia"/>
        </w:rPr>
        <w:t>w kierunku jazdy: 0,8 razy waga ładunku, oraz</w:t>
      </w:r>
    </w:p>
    <w:p w:rsidR="000640C6" w:rsidRDefault="00F81AF0" w:rsidP="00A00CC9">
      <w:pPr>
        <w:pStyle w:val="PKTpunkt"/>
      </w:pPr>
      <w:r>
        <w:t>2)</w:t>
      </w:r>
      <w:r w:rsidRPr="00F81AF0">
        <w:rPr>
          <w:rFonts w:hint="eastAsia"/>
        </w:rPr>
        <w:t> w kierunku bocznym: 0,5 razy waga ładunku, oraz</w:t>
      </w:r>
    </w:p>
    <w:p w:rsidR="000640C6" w:rsidRDefault="00F81AF0" w:rsidP="00A00CC9">
      <w:pPr>
        <w:pStyle w:val="PKTpunkt"/>
      </w:pPr>
      <w:r>
        <w:t xml:space="preserve">3) </w:t>
      </w:r>
      <w:r w:rsidRPr="00F81AF0">
        <w:rPr>
          <w:rFonts w:hint="eastAsia"/>
        </w:rPr>
        <w:t>w kierunku przeciwnym do kierun</w:t>
      </w:r>
      <w:r>
        <w:rPr>
          <w:rFonts w:hint="eastAsia"/>
        </w:rPr>
        <w:t>ku jazdy: 0,5 razy waga ładunku</w:t>
      </w:r>
      <w:r>
        <w:t>.</w:t>
      </w:r>
    </w:p>
    <w:p w:rsidR="00F81AF0" w:rsidRPr="00B73AF7" w:rsidRDefault="00F81AF0" w:rsidP="00B73AF7"/>
    <w:p w:rsidR="0074187B" w:rsidRPr="00823803" w:rsidRDefault="00B73AF7" w:rsidP="00B73AF7">
      <w:pPr>
        <w:pStyle w:val="USTustnpkodeksu"/>
      </w:pPr>
      <w:r w:rsidRPr="00B73AF7" w:rsidDel="00B73AF7">
        <w:t xml:space="preserve"> </w:t>
      </w:r>
      <w:r w:rsidR="0074187B" w:rsidRPr="00823803">
        <w:rPr>
          <w:rStyle w:val="Ppogrubienie"/>
        </w:rPr>
        <w:t>§ </w:t>
      </w:r>
      <w:r w:rsidR="00A00CC9">
        <w:rPr>
          <w:rStyle w:val="Ppogrubienie"/>
        </w:rPr>
        <w:t>2</w:t>
      </w:r>
      <w:r w:rsidR="0074187B" w:rsidRPr="00823803">
        <w:t>.</w:t>
      </w:r>
      <w:r w:rsidR="0074187B" w:rsidRPr="00823803">
        <w:rPr>
          <w:rStyle w:val="Ppogrubienie"/>
          <w:b w:val="0"/>
        </w:rPr>
        <w:t>1.</w:t>
      </w:r>
      <w:r w:rsidR="00823803" w:rsidRPr="00823803">
        <w:t xml:space="preserve"> </w:t>
      </w:r>
      <w:r w:rsidR="0074187B" w:rsidRPr="00823803">
        <w:t>Konstrukcja przestrzeni ładunkowej pojazdu przeznaczonego do przewozu ładunku powinna spełniać wymagania normy PN-EN-12642-01 „Zabezpieczanie ładunków na pojazdach drogowych – Konstrukcja nadwozi pojazdów do przewozu towarów –</w:t>
      </w:r>
      <w:r w:rsidR="0074187B" w:rsidRPr="00823803" w:rsidDel="00D51D7E">
        <w:t xml:space="preserve"> </w:t>
      </w:r>
      <w:r w:rsidR="0074187B" w:rsidRPr="00823803">
        <w:t>Wymagania minimalne”.</w:t>
      </w:r>
    </w:p>
    <w:p w:rsidR="0074187B" w:rsidRPr="00823803" w:rsidRDefault="0074187B" w:rsidP="00823803">
      <w:pPr>
        <w:pStyle w:val="USTustnpkodeksu"/>
      </w:pPr>
      <w:r w:rsidRPr="00823803">
        <w:t>2. Przestrzeń ładunkowa powinna być pozbawiona zabrudzeń</w:t>
      </w:r>
      <w:r w:rsidR="00823803" w:rsidRPr="00823803">
        <w:t xml:space="preserve"> </w:t>
      </w:r>
      <w:r w:rsidRPr="00823803">
        <w:t>wpływając</w:t>
      </w:r>
      <w:r w:rsidR="00823803" w:rsidRPr="00823803">
        <w:t>ych</w:t>
      </w:r>
      <w:r w:rsidRPr="00823803">
        <w:t xml:space="preserve"> na zmianę współczynnika tarcia stykających się powierzchni albo utrudniających załadunek i rozładunek ładunku. </w:t>
      </w:r>
    </w:p>
    <w:p w:rsidR="0074187B" w:rsidRDefault="00A00CC9" w:rsidP="00260C2F">
      <w:pPr>
        <w:pStyle w:val="ARTartustawynprozporzdzenia"/>
      </w:pPr>
      <w:r>
        <w:rPr>
          <w:rStyle w:val="Ppogrubienie"/>
        </w:rPr>
        <w:t>§ 3</w:t>
      </w:r>
      <w:r w:rsidR="0074187B" w:rsidRPr="004120FA">
        <w:rPr>
          <w:rStyle w:val="Ppogrubienie"/>
        </w:rPr>
        <w:t>.</w:t>
      </w:r>
      <w:r w:rsidR="0074187B">
        <w:t xml:space="preserve"> </w:t>
      </w:r>
      <w:r w:rsidR="0074187B" w:rsidRPr="0074187B">
        <w:t xml:space="preserve">Wymagania techniczne w odniesieniu do elementów konstrukcji pojazdu, </w:t>
      </w:r>
      <w:r w:rsidR="00B10E7F">
        <w:br/>
      </w:r>
      <w:r w:rsidR="0074187B" w:rsidRPr="0074187B">
        <w:t xml:space="preserve">w szczególności </w:t>
      </w:r>
      <w:r w:rsidR="00823803" w:rsidRPr="0074187B">
        <w:t>kontenerów ISO</w:t>
      </w:r>
      <w:r w:rsidR="00823803">
        <w:t xml:space="preserve">, </w:t>
      </w:r>
      <w:r w:rsidR="00823803" w:rsidRPr="0074187B">
        <w:t>nadwozi wymiennych</w:t>
      </w:r>
      <w:r w:rsidR="00823803">
        <w:t xml:space="preserve">, plandek, żerdzi - </w:t>
      </w:r>
      <w:r w:rsidR="00823803" w:rsidRPr="0074187B">
        <w:t>kłonic</w:t>
      </w:r>
      <w:r w:rsidR="00B10E7F">
        <w:t xml:space="preserve">, </w:t>
      </w:r>
      <w:r w:rsidR="0074187B" w:rsidRPr="0074187B">
        <w:t xml:space="preserve">powinny być zgodne z aktualnym poziomem wiedzy inżynierskiej. Poziom wiedzy jest opisany </w:t>
      </w:r>
      <w:r w:rsidR="00260C2F">
        <w:br/>
      </w:r>
      <w:r w:rsidR="0074187B" w:rsidRPr="0074187B">
        <w:t xml:space="preserve">w normach: </w:t>
      </w:r>
      <w:r w:rsidR="009F7004">
        <w:t>PN-</w:t>
      </w:r>
      <w:r w:rsidR="0074187B" w:rsidRPr="0074187B">
        <w:t>ISO 1161</w:t>
      </w:r>
      <w:r w:rsidR="00B10E7F">
        <w:t xml:space="preserve"> </w:t>
      </w:r>
      <w:r w:rsidR="00514683">
        <w:t xml:space="preserve">„Kontenery ładunkowe serii 1 - Naroża zaczepowe - </w:t>
      </w:r>
      <w:r w:rsidR="00B10E7F" w:rsidRPr="00B10E7F">
        <w:t>Wymagania</w:t>
      </w:r>
      <w:r w:rsidR="009F7004">
        <w:t>, PN-</w:t>
      </w:r>
      <w:r w:rsidR="0074187B" w:rsidRPr="0074187B">
        <w:t>ISO-1496</w:t>
      </w:r>
      <w:r w:rsidR="00B10E7F">
        <w:t xml:space="preserve"> </w:t>
      </w:r>
      <w:r w:rsidR="00514683">
        <w:t>„Kontenery ładunkowe serii 1 - Wymagania i metody badań -</w:t>
      </w:r>
      <w:r w:rsidR="00B10E7F" w:rsidRPr="00B10E7F">
        <w:t xml:space="preserve"> Kontenery ogólnego użytku do różnych ładunków</w:t>
      </w:r>
      <w:r w:rsidR="0074187B" w:rsidRPr="0074187B">
        <w:t>,</w:t>
      </w:r>
      <w:r w:rsidR="00823803">
        <w:t xml:space="preserve"> </w:t>
      </w:r>
      <w:r w:rsidR="009F7004">
        <w:t>PN-</w:t>
      </w:r>
      <w:r w:rsidR="00B10E7F" w:rsidRPr="0074187B">
        <w:t>EN-283</w:t>
      </w:r>
      <w:r w:rsidR="00B10E7F">
        <w:t xml:space="preserve"> </w:t>
      </w:r>
      <w:r w:rsidR="00514683">
        <w:t>„Nadwozia wymienne -</w:t>
      </w:r>
      <w:r w:rsidR="00B10E7F" w:rsidRPr="00B10E7F">
        <w:t xml:space="preserve"> Badania”</w:t>
      </w:r>
      <w:r w:rsidR="00B10E7F">
        <w:t xml:space="preserve">, </w:t>
      </w:r>
      <w:r w:rsidR="00260C2F">
        <w:br/>
      </w:r>
      <w:r w:rsidR="009F7004">
        <w:t>PN-</w:t>
      </w:r>
      <w:r w:rsidR="00B10E7F" w:rsidRPr="00B10E7F">
        <w:t>EN 12641</w:t>
      </w:r>
      <w:r w:rsidR="009F7004">
        <w:t xml:space="preserve"> </w:t>
      </w:r>
      <w:r w:rsidR="009F7004" w:rsidRPr="009F7004">
        <w:t>„Nadwozia wymienne - Opończe - Część 1: Wymagania minimalne”</w:t>
      </w:r>
      <w:r w:rsidR="00B10E7F">
        <w:t xml:space="preserve"> </w:t>
      </w:r>
      <w:r w:rsidR="00260C2F">
        <w:br/>
      </w:r>
      <w:r w:rsidR="00B10E7F">
        <w:t xml:space="preserve">i </w:t>
      </w:r>
      <w:r w:rsidR="00217E5E">
        <w:t xml:space="preserve">EUMOS </w:t>
      </w:r>
      <w:r w:rsidR="00823803" w:rsidRPr="0074187B">
        <w:t>40511</w:t>
      </w:r>
      <w:r w:rsidR="009F7004">
        <w:t xml:space="preserve"> </w:t>
      </w:r>
      <w:r w:rsidR="00260C2F" w:rsidRPr="00260C2F">
        <w:t>„</w:t>
      </w:r>
      <w:r w:rsidR="009F7004" w:rsidRPr="009F7004">
        <w:t>Metoda badania słupów zamontowanych, używanych do zabezpieczania ładunku na drogowych pojazdach i przyczepach</w:t>
      </w:r>
      <w:r w:rsidR="00260C2F" w:rsidRPr="00260C2F">
        <w:t>”</w:t>
      </w:r>
      <w:r w:rsidR="00B10E7F" w:rsidRPr="009F7004">
        <w:t>.</w:t>
      </w:r>
    </w:p>
    <w:p w:rsidR="00805574" w:rsidRDefault="00A00CC9" w:rsidP="00823803">
      <w:pPr>
        <w:pStyle w:val="ARTartustawynprozporzdzenia"/>
      </w:pPr>
      <w:r>
        <w:rPr>
          <w:rStyle w:val="Ppogrubienie"/>
        </w:rPr>
        <w:t>§ 4</w:t>
      </w:r>
      <w:r w:rsidR="00F57525">
        <w:rPr>
          <w:rStyle w:val="Ppogrubienie"/>
        </w:rPr>
        <w:t xml:space="preserve">. </w:t>
      </w:r>
      <w:r w:rsidR="00805574" w:rsidRPr="00913370">
        <w:t>1.</w:t>
      </w:r>
      <w:r w:rsidR="00805574">
        <w:rPr>
          <w:rStyle w:val="Ppogrubienie"/>
        </w:rPr>
        <w:t xml:space="preserve"> </w:t>
      </w:r>
      <w:r w:rsidR="0074187B" w:rsidRPr="004120FA">
        <w:t>Pojazd przeznaczony do przewozu</w:t>
      </w:r>
      <w:r w:rsidR="0074187B">
        <w:t xml:space="preserve"> ładunków o płaskiej konstrukcji powierzchni załadunkowej </w:t>
      </w:r>
      <w:r w:rsidR="0074187B" w:rsidRPr="004120FA">
        <w:t>powin</w:t>
      </w:r>
      <w:r w:rsidR="0074187B">
        <w:t xml:space="preserve">ien </w:t>
      </w:r>
      <w:r w:rsidR="0074187B" w:rsidRPr="004120FA">
        <w:t>być</w:t>
      </w:r>
      <w:r w:rsidR="0074187B">
        <w:t xml:space="preserve"> wyposażony</w:t>
      </w:r>
      <w:r w:rsidR="0074187B" w:rsidRPr="008C16A3">
        <w:t xml:space="preserve"> w punkty mocowania ładunku</w:t>
      </w:r>
      <w:r w:rsidR="0074187B">
        <w:t xml:space="preserve"> spełniające wymagania normy</w:t>
      </w:r>
      <w:r w:rsidR="0074187B" w:rsidRPr="00C65CA5">
        <w:t xml:space="preserve"> </w:t>
      </w:r>
      <w:r w:rsidR="0074187B">
        <w:t>PN-EN-</w:t>
      </w:r>
      <w:r w:rsidR="0074187B" w:rsidRPr="004120FA">
        <w:t xml:space="preserve">12640 „Mocowanie </w:t>
      </w:r>
      <w:r w:rsidR="0074187B">
        <w:t xml:space="preserve">ładunku na pojazdach drogowych </w:t>
      </w:r>
      <w:r w:rsidR="0074187B" w:rsidRPr="003424A4">
        <w:t>–</w:t>
      </w:r>
      <w:r w:rsidR="0074187B">
        <w:t xml:space="preserve"> </w:t>
      </w:r>
      <w:r w:rsidR="0074187B" w:rsidRPr="004120FA">
        <w:t>Punkty mocowania na pojazdach</w:t>
      </w:r>
      <w:r w:rsidR="0074187B">
        <w:t xml:space="preserve"> używanych do przewozu towarów </w:t>
      </w:r>
      <w:r w:rsidR="0074187B" w:rsidRPr="003424A4">
        <w:t>–</w:t>
      </w:r>
      <w:r w:rsidR="0074187B">
        <w:t xml:space="preserve"> Minimalne wymagania </w:t>
      </w:r>
      <w:r w:rsidR="00260C2F">
        <w:br/>
      </w:r>
      <w:r w:rsidR="0074187B">
        <w:t>i badania”</w:t>
      </w:r>
      <w:r w:rsidR="00805574">
        <w:t>.</w:t>
      </w:r>
    </w:p>
    <w:p w:rsidR="00805574" w:rsidRDefault="00805574" w:rsidP="00A00CC9">
      <w:pPr>
        <w:pStyle w:val="USTustnpkodeksu"/>
      </w:pPr>
      <w:r>
        <w:t xml:space="preserve">2. Przepisu ust. 2 </w:t>
      </w:r>
      <w:r w:rsidR="0074187B">
        <w:t xml:space="preserve">nie </w:t>
      </w:r>
      <w:r>
        <w:t>stosuje się do</w:t>
      </w:r>
      <w:r w:rsidR="0074187B">
        <w:t xml:space="preserve"> p</w:t>
      </w:r>
      <w:r w:rsidR="0074187B" w:rsidRPr="00B4775D">
        <w:t xml:space="preserve">ojazdów </w:t>
      </w:r>
      <w:r w:rsidR="0074187B">
        <w:t>przeznaczonych</w:t>
      </w:r>
      <w:r w:rsidR="0074187B" w:rsidRPr="00B4775D">
        <w:t xml:space="preserve"> w</w:t>
      </w:r>
      <w:r w:rsidR="0074187B">
        <w:t xml:space="preserve">yłącznie do </w:t>
      </w:r>
      <w:r>
        <w:t xml:space="preserve">przewozu </w:t>
      </w:r>
      <w:r w:rsidR="0074187B" w:rsidRPr="00B4775D">
        <w:t>ładunków</w:t>
      </w:r>
      <w:r>
        <w:t>:</w:t>
      </w:r>
    </w:p>
    <w:p w:rsidR="00805574" w:rsidRDefault="00805574" w:rsidP="00A00CC9">
      <w:pPr>
        <w:pStyle w:val="PKTpunkt"/>
      </w:pPr>
      <w:r>
        <w:t>1)</w:t>
      </w:r>
      <w:r w:rsidR="0074187B" w:rsidRPr="00B4775D">
        <w:t xml:space="preserve"> luzem</w:t>
      </w:r>
      <w:r>
        <w:t>;</w:t>
      </w:r>
    </w:p>
    <w:p w:rsidR="00823803" w:rsidRDefault="00805574" w:rsidP="00A00CC9">
      <w:pPr>
        <w:pStyle w:val="PKTpunkt"/>
      </w:pPr>
      <w:r>
        <w:t>2)</w:t>
      </w:r>
      <w:r w:rsidR="0074187B">
        <w:t xml:space="preserve"> </w:t>
      </w:r>
      <w:r w:rsidR="0074187B" w:rsidRPr="004120FA">
        <w:t>o szczególnych wymaganiach w zakresie mocowania ładunku.</w:t>
      </w:r>
    </w:p>
    <w:p w:rsidR="00F57525" w:rsidRDefault="00A00CC9" w:rsidP="00823803">
      <w:pPr>
        <w:pStyle w:val="ARTartustawynprozporzdzenia"/>
        <w:rPr>
          <w:rStyle w:val="Ppogrubienie"/>
        </w:rPr>
      </w:pPr>
      <w:r>
        <w:rPr>
          <w:rStyle w:val="Ppogrubienie"/>
        </w:rPr>
        <w:t>§ 5</w:t>
      </w:r>
      <w:r w:rsidR="0043444B" w:rsidRPr="0043444B">
        <w:rPr>
          <w:rStyle w:val="Ppogrubienie"/>
        </w:rPr>
        <w:t>.</w:t>
      </w:r>
      <w:r w:rsidR="0043444B" w:rsidRPr="0043444B">
        <w:t xml:space="preserve"> </w:t>
      </w:r>
      <w:r w:rsidR="0043444B" w:rsidRPr="00823803">
        <w:t>Urządzenia służące do mocowania ładunku na pojeździe powinny być</w:t>
      </w:r>
      <w:r w:rsidR="00F57525" w:rsidRPr="00823803">
        <w:t xml:space="preserve">: </w:t>
      </w:r>
    </w:p>
    <w:p w:rsidR="0043444B" w:rsidRPr="0043444B" w:rsidRDefault="00F57525" w:rsidP="00B10E7F">
      <w:pPr>
        <w:pStyle w:val="PKTpunkt"/>
        <w:rPr>
          <w:rStyle w:val="Ppogrubienie"/>
        </w:rPr>
      </w:pPr>
      <w:r w:rsidRPr="00823803">
        <w:t>1)</w:t>
      </w:r>
      <w:r w:rsidR="0043444B" w:rsidRPr="0043444B">
        <w:t xml:space="preserve"> </w:t>
      </w:r>
      <w:r w:rsidR="00B10E7F">
        <w:tab/>
      </w:r>
      <w:r w:rsidR="0043444B" w:rsidRPr="0043444B">
        <w:t>wykonane w sposób zgodny z aktualnym poziomem wiedzy inżynierskiej zapewniający bezpieczeństwo w ruchu drogowym. Poziom wiedzy jest opisany w normach: PN-EN-12195-2 „Mocowanie ładunków - Bezpieczeństwo - Część 2: Pasy mocujące ładunki”</w:t>
      </w:r>
      <w:r w:rsidR="00914345">
        <w:t xml:space="preserve">, </w:t>
      </w:r>
      <w:r w:rsidR="0043444B" w:rsidRPr="0043444B">
        <w:t xml:space="preserve"> PN-EN-12195-3 „Mocowanie ładunków - Bezpieczeństwo - Część 3: Odciągi </w:t>
      </w:r>
      <w:r w:rsidR="00914345">
        <w:lastRenderedPageBreak/>
        <w:t>ł</w:t>
      </w:r>
      <w:r w:rsidR="0043444B" w:rsidRPr="0043444B">
        <w:t>ańcuchowe”</w:t>
      </w:r>
      <w:r w:rsidR="00914345">
        <w:t xml:space="preserve"> oraz PN-EN-12195-4 </w:t>
      </w:r>
      <w:r w:rsidR="00914345" w:rsidRPr="0043444B">
        <w:t>„</w:t>
      </w:r>
      <w:r w:rsidR="00914345" w:rsidRPr="00914345">
        <w:t>Elementy mocujące ła</w:t>
      </w:r>
      <w:r w:rsidR="00914345">
        <w:t xml:space="preserve">dunki na pojazdach drogowych - Bezpieczeństwo - </w:t>
      </w:r>
      <w:r w:rsidR="00914345" w:rsidRPr="00914345">
        <w:t>Część 4: Liny stalowe mocujące”</w:t>
      </w:r>
      <w:r w:rsidR="003874AE">
        <w:t>;</w:t>
      </w:r>
    </w:p>
    <w:p w:rsidR="00BE7178" w:rsidRDefault="00F57525" w:rsidP="005837FF">
      <w:pPr>
        <w:pStyle w:val="PKTpunkt"/>
      </w:pPr>
      <w:r>
        <w:t xml:space="preserve">2) </w:t>
      </w:r>
      <w:r w:rsidR="00B10E7F">
        <w:tab/>
      </w:r>
      <w:r w:rsidR="0042335C" w:rsidRPr="00020D20">
        <w:t xml:space="preserve">montowane lub wpinane w elementy konstrukcyjne pojazdu do tego przeznaczone, </w:t>
      </w:r>
      <w:r w:rsidR="006847B0">
        <w:t xml:space="preserve">gwarantujące wytrzymałość </w:t>
      </w:r>
      <w:r w:rsidR="006847B0" w:rsidRPr="00020D20">
        <w:t>w połączeniu z jego konstrukcją</w:t>
      </w:r>
      <w:r w:rsidR="006847B0">
        <w:t xml:space="preserve"> zgodnie z certyfikatem wytrzymałości wystawionym przez producenta</w:t>
      </w:r>
      <w:r w:rsidR="005837FF">
        <w:t>;</w:t>
      </w:r>
      <w:r w:rsidR="006847B0">
        <w:t xml:space="preserve"> </w:t>
      </w:r>
      <w:r w:rsidR="00BE7178">
        <w:t xml:space="preserve"> </w:t>
      </w:r>
    </w:p>
    <w:p w:rsidR="008D27E4" w:rsidRDefault="00F57525" w:rsidP="00B10E7F">
      <w:pPr>
        <w:pStyle w:val="PKTpunkt"/>
      </w:pPr>
      <w:r>
        <w:t xml:space="preserve">3) </w:t>
      </w:r>
      <w:r w:rsidR="00B10E7F">
        <w:tab/>
      </w:r>
      <w:r w:rsidRPr="00020D20">
        <w:t>wyposażone w czytelne cechy  potwierdzając</w:t>
      </w:r>
      <w:r w:rsidR="00971CB0">
        <w:t>e</w:t>
      </w:r>
      <w:r w:rsidRPr="00020D20">
        <w:t xml:space="preserve"> ich wytrzymałość.</w:t>
      </w:r>
    </w:p>
    <w:p w:rsidR="007B2067" w:rsidRDefault="00F57525" w:rsidP="005173D4">
      <w:pPr>
        <w:pStyle w:val="ARTartustawynprozporzdzenia"/>
      </w:pPr>
      <w:r>
        <w:rPr>
          <w:rStyle w:val="Ppogrubienie"/>
        </w:rPr>
        <w:t xml:space="preserve">§ </w:t>
      </w:r>
      <w:r w:rsidR="00A00CC9">
        <w:rPr>
          <w:rStyle w:val="Ppogrubienie"/>
        </w:rPr>
        <w:t>6</w:t>
      </w:r>
      <w:r>
        <w:t>.1</w:t>
      </w:r>
      <w:r w:rsidRPr="00C40FE5">
        <w:t xml:space="preserve">. </w:t>
      </w:r>
      <w:r w:rsidR="0036591B">
        <w:t>Ładunek mocuje się z zastosowaniem co najmniej jednej z następujących metod:</w:t>
      </w:r>
    </w:p>
    <w:p w:rsidR="0036591B" w:rsidRDefault="0036591B" w:rsidP="00A00CC9">
      <w:pPr>
        <w:pStyle w:val="PKTpunkt"/>
      </w:pPr>
      <w:r>
        <w:t>1) zamykania;</w:t>
      </w:r>
    </w:p>
    <w:p w:rsidR="0036591B" w:rsidRDefault="0036591B" w:rsidP="00A00CC9">
      <w:pPr>
        <w:pStyle w:val="PKTpunkt"/>
      </w:pPr>
      <w:r>
        <w:t>2) blokowania</w:t>
      </w:r>
      <w:r w:rsidR="00F45BB7">
        <w:t xml:space="preserve"> miejscowego albo ogólnego;</w:t>
      </w:r>
    </w:p>
    <w:p w:rsidR="00F45BB7" w:rsidRDefault="00F45BB7" w:rsidP="00A00CC9">
      <w:pPr>
        <w:pStyle w:val="PKTpunkt"/>
      </w:pPr>
      <w:r>
        <w:t>3) mocowania za pomocą odciągów prostych;</w:t>
      </w:r>
    </w:p>
    <w:p w:rsidR="0036591B" w:rsidRDefault="00F45BB7" w:rsidP="00A00CC9">
      <w:pPr>
        <w:pStyle w:val="PKTpunkt"/>
      </w:pPr>
      <w:r>
        <w:t>4) mocowania przepasaniem od góry.</w:t>
      </w:r>
    </w:p>
    <w:p w:rsidR="00F57525" w:rsidRDefault="007B2067" w:rsidP="00A00CC9">
      <w:pPr>
        <w:pStyle w:val="USTustnpkodeksu"/>
      </w:pPr>
      <w:r>
        <w:t>2.</w:t>
      </w:r>
      <w:r w:rsidR="00F45BB7">
        <w:t xml:space="preserve"> </w:t>
      </w:r>
      <w:r w:rsidR="00F57525" w:rsidRPr="00C40FE5">
        <w:t>Zastosowane metody mocowania powinny być odpowiednie</w:t>
      </w:r>
      <w:r w:rsidR="00F57525">
        <w:t xml:space="preserve"> do </w:t>
      </w:r>
      <w:r w:rsidR="00F57525" w:rsidRPr="00C40FE5">
        <w:t>rodzaj</w:t>
      </w:r>
      <w:r w:rsidR="00F57525">
        <w:t>u</w:t>
      </w:r>
      <w:r w:rsidR="00F57525" w:rsidRPr="00C40FE5">
        <w:t xml:space="preserve"> ładunku, właściwości fizyczn</w:t>
      </w:r>
      <w:r w:rsidR="00F57525">
        <w:t>ych</w:t>
      </w:r>
      <w:r w:rsidR="00F57525" w:rsidRPr="00C40FE5">
        <w:t xml:space="preserve"> ładunku i</w:t>
      </w:r>
      <w:r w:rsidR="00F57525">
        <w:t xml:space="preserve"> opakowań</w:t>
      </w:r>
      <w:r w:rsidR="00F57525" w:rsidRPr="00C40FE5">
        <w:t xml:space="preserve">, </w:t>
      </w:r>
      <w:r w:rsidR="00BE7178">
        <w:t>rodzaju pojazd</w:t>
      </w:r>
      <w:r w:rsidR="005173D4">
        <w:t>u</w:t>
      </w:r>
      <w:r w:rsidR="00BE7178">
        <w:t xml:space="preserve">, urządzeń </w:t>
      </w:r>
      <w:r w:rsidR="005837FF">
        <w:t xml:space="preserve">służących do mocowania </w:t>
      </w:r>
      <w:r w:rsidR="00F57525" w:rsidRPr="00C40FE5">
        <w:t xml:space="preserve">i metod mocowania </w:t>
      </w:r>
      <w:r w:rsidR="00F57525">
        <w:t xml:space="preserve">tak, aby </w:t>
      </w:r>
      <w:r w:rsidR="00F57525" w:rsidRPr="0043444B">
        <w:t xml:space="preserve">zapewnić </w:t>
      </w:r>
      <w:r w:rsidR="00F57525">
        <w:t xml:space="preserve">trwałość zabezpieczenia ładunku przy przyspieszeniu albo gwałtownym hamowaniu </w:t>
      </w:r>
      <w:r w:rsidR="00F57525" w:rsidRPr="00C40FE5">
        <w:t xml:space="preserve">z uwzględnieniem spełnienia </w:t>
      </w:r>
      <w:r w:rsidR="00F57525">
        <w:t>wymagań określonych w normie PN-EN-12195-1</w:t>
      </w:r>
      <w:r w:rsidR="007B3FF8">
        <w:t xml:space="preserve"> </w:t>
      </w:r>
      <w:r w:rsidR="007B3FF8" w:rsidRPr="007B3FF8">
        <w:t>„Zestawy do utwierdzania ładunków na pojazdach drogowych - Bezpieczeństwo - Część 1: Obliczanie sił moco</w:t>
      </w:r>
      <w:r w:rsidR="003874AE">
        <w:t>wania</w:t>
      </w:r>
      <w:r w:rsidR="007B3FF8" w:rsidRPr="007B3FF8">
        <w:t>”</w:t>
      </w:r>
      <w:r w:rsidR="003874AE">
        <w:t>.</w:t>
      </w:r>
      <w:r w:rsidR="007B3FF8" w:rsidRPr="007B3FF8">
        <w:t xml:space="preserve"> </w:t>
      </w:r>
      <w:r w:rsidR="007B3FF8">
        <w:t xml:space="preserve"> </w:t>
      </w:r>
    </w:p>
    <w:p w:rsidR="00F57525" w:rsidRDefault="007B2067" w:rsidP="00B10E7F">
      <w:pPr>
        <w:pStyle w:val="USTustnpkodeksu"/>
      </w:pPr>
      <w:r>
        <w:t>3</w:t>
      </w:r>
      <w:r w:rsidR="00F57525" w:rsidRPr="008E0D57">
        <w:t xml:space="preserve">. </w:t>
      </w:r>
      <w:r w:rsidR="00F57525" w:rsidRPr="00463C33">
        <w:t>Mocowanie ładunku</w:t>
      </w:r>
      <w:r w:rsidR="00F57525" w:rsidRPr="008E0D57">
        <w:t xml:space="preserve"> powinno być </w:t>
      </w:r>
      <w:r w:rsidR="00F57525">
        <w:t>sprawdzane</w:t>
      </w:r>
      <w:r w:rsidR="00F57525" w:rsidRPr="008E0D57">
        <w:t xml:space="preserve"> podczas</w:t>
      </w:r>
      <w:r w:rsidR="00F57525">
        <w:t xml:space="preserve"> jazdy</w:t>
      </w:r>
      <w:r w:rsidR="00F57525" w:rsidRPr="008E0D57">
        <w:t>, a także po każdym niespodziewanym gwałtownym hamowaniu lub innym zdarzeniu, mogącym negatywnie oddziaływać na mocowanie ładunku.</w:t>
      </w:r>
    </w:p>
    <w:p w:rsidR="00F57525" w:rsidRDefault="00A00CC9" w:rsidP="00823803">
      <w:pPr>
        <w:pStyle w:val="ARTartustawynprozporzdzenia"/>
      </w:pPr>
      <w:r>
        <w:rPr>
          <w:rStyle w:val="Ppogrubienie"/>
        </w:rPr>
        <w:t>§ 7</w:t>
      </w:r>
      <w:r w:rsidR="00F57525">
        <w:rPr>
          <w:rStyle w:val="Ppogrubienie"/>
        </w:rPr>
        <w:t>.</w:t>
      </w:r>
      <w:r w:rsidR="00F57525">
        <w:t xml:space="preserve"> </w:t>
      </w:r>
      <w:r w:rsidR="00F57525" w:rsidRPr="008E0D57">
        <w:t xml:space="preserve">Przy załadunku na </w:t>
      </w:r>
      <w:r w:rsidR="00F57525">
        <w:t xml:space="preserve">pojazd </w:t>
      </w:r>
      <w:r w:rsidR="00F57525" w:rsidRPr="008E0D57">
        <w:t xml:space="preserve"> powinno być używane wyposażenie dodatkowe</w:t>
      </w:r>
      <w:r w:rsidR="00F57525">
        <w:t xml:space="preserve">, </w:t>
      </w:r>
      <w:r w:rsidR="004B64F8">
        <w:br/>
      </w:r>
      <w:r w:rsidR="00971CB0">
        <w:t>w szczególności m</w:t>
      </w:r>
      <w:r w:rsidR="00F57525" w:rsidRPr="008E0D57">
        <w:t>aty antypoślizgowe</w:t>
      </w:r>
      <w:r w:rsidR="00C702E0">
        <w:t xml:space="preserve"> i</w:t>
      </w:r>
      <w:r w:rsidR="00F57525" w:rsidRPr="008E0D57">
        <w:t xml:space="preserve"> </w:t>
      </w:r>
      <w:r w:rsidR="00284D6B">
        <w:t>nakładki</w:t>
      </w:r>
      <w:r w:rsidR="00F57525" w:rsidRPr="008E0D57">
        <w:t xml:space="preserve">. </w:t>
      </w:r>
      <w:r w:rsidR="005837FF">
        <w:t xml:space="preserve">Wyposażenie dodatkowe powinno być </w:t>
      </w:r>
      <w:r w:rsidR="005173D4">
        <w:t xml:space="preserve">stosowane </w:t>
      </w:r>
      <w:r w:rsidR="00F57525" w:rsidRPr="008E0D57">
        <w:t>odpowiednio do danego r</w:t>
      </w:r>
      <w:r w:rsidR="00217E5E">
        <w:t xml:space="preserve">odzaju ładunku, </w:t>
      </w:r>
      <w:r w:rsidR="00F57525" w:rsidRPr="008E0D57">
        <w:t xml:space="preserve">właściwości fizycznych ładunku </w:t>
      </w:r>
      <w:r w:rsidR="00971CB0">
        <w:br/>
      </w:r>
      <w:r w:rsidR="00F57525" w:rsidRPr="008E0D57">
        <w:t>i metody jego unieruchomienia.</w:t>
      </w:r>
    </w:p>
    <w:p w:rsidR="005741EE" w:rsidRPr="009F7004" w:rsidRDefault="00F57525" w:rsidP="00260C2F">
      <w:pPr>
        <w:pStyle w:val="ARTartustawynprozporzdzenia"/>
      </w:pPr>
      <w:r>
        <w:rPr>
          <w:rStyle w:val="Ppogrubienie"/>
        </w:rPr>
        <w:t>§</w:t>
      </w:r>
      <w:r w:rsidR="00823803">
        <w:rPr>
          <w:rStyle w:val="Ppogrubienie"/>
        </w:rPr>
        <w:t xml:space="preserve"> </w:t>
      </w:r>
      <w:r w:rsidR="00A00CC9">
        <w:rPr>
          <w:rStyle w:val="Ppogrubienie"/>
        </w:rPr>
        <w:t>8</w:t>
      </w:r>
      <w:r>
        <w:rPr>
          <w:rStyle w:val="Ppogrubienie"/>
        </w:rPr>
        <w:t xml:space="preserve">. </w:t>
      </w:r>
      <w:r>
        <w:t xml:space="preserve">Opakowanie </w:t>
      </w:r>
      <w:r w:rsidR="004B64F8">
        <w:t xml:space="preserve">ładunku używane w trakcie przewozu </w:t>
      </w:r>
      <w:r>
        <w:t xml:space="preserve">powinno być </w:t>
      </w:r>
      <w:r w:rsidRPr="0043444B">
        <w:t xml:space="preserve">wykonane </w:t>
      </w:r>
      <w:r w:rsidR="004B64F8">
        <w:br/>
      </w:r>
      <w:r w:rsidRPr="0043444B">
        <w:t>w sposób</w:t>
      </w:r>
      <w:r w:rsidR="004B64F8">
        <w:t xml:space="preserve"> </w:t>
      </w:r>
      <w:r w:rsidRPr="0043444B">
        <w:t>zgodny z aktualnym poziomem wiedzy inżynierskiej zapewniający</w:t>
      </w:r>
      <w:r>
        <w:t xml:space="preserve"> bezpieczeństwo w ruchu drogowym.</w:t>
      </w:r>
      <w:r w:rsidRPr="0043444B">
        <w:t xml:space="preserve"> Poziom wi</w:t>
      </w:r>
      <w:r>
        <w:t>edzy jest opisany w normie</w:t>
      </w:r>
      <w:r w:rsidRPr="008D27E4">
        <w:t xml:space="preserve"> </w:t>
      </w:r>
      <w:r w:rsidR="00217E5E">
        <w:t xml:space="preserve">EUMOS </w:t>
      </w:r>
      <w:r>
        <w:t>40509</w:t>
      </w:r>
      <w:r w:rsidR="009F7004">
        <w:t xml:space="preserve"> </w:t>
      </w:r>
      <w:r w:rsidR="009F7004" w:rsidRPr="009F7004">
        <w:t>„Metoda badania sztywności jednostki ładunkowej”</w:t>
      </w:r>
      <w:r w:rsidRPr="009F7004">
        <w:t>.</w:t>
      </w:r>
    </w:p>
    <w:p w:rsidR="000640C6" w:rsidRDefault="0043444B" w:rsidP="00A00CC9">
      <w:pPr>
        <w:pStyle w:val="ARTartustawynprozporzdzenia"/>
      </w:pPr>
      <w:r w:rsidRPr="0043444B">
        <w:rPr>
          <w:rStyle w:val="Ppogrubienie"/>
        </w:rPr>
        <w:t>§</w:t>
      </w:r>
      <w:r w:rsidR="00823803">
        <w:rPr>
          <w:rStyle w:val="Ppogrubienie"/>
        </w:rPr>
        <w:t xml:space="preserve"> </w:t>
      </w:r>
      <w:r w:rsidR="00A00CC9">
        <w:rPr>
          <w:rStyle w:val="Ppogrubienie"/>
        </w:rPr>
        <w:t>9</w:t>
      </w:r>
      <w:r w:rsidRPr="0043444B">
        <w:rPr>
          <w:rStyle w:val="Ppogrubienie"/>
        </w:rPr>
        <w:t>.</w:t>
      </w:r>
      <w:r w:rsidRPr="0043444B">
        <w:t xml:space="preserve"> </w:t>
      </w:r>
      <w:r>
        <w:t xml:space="preserve">1. </w:t>
      </w:r>
      <w:r w:rsidRPr="0043444B">
        <w:t xml:space="preserve">Ładunki płynne lub zachowujące się podobnie jak płynne, będące towarami niebezpiecznymi, przewożone są zgodnie z postanowieniami </w:t>
      </w:r>
      <w:bookmarkStart w:id="1" w:name="#hiperlinkText.rpc?hiperlink=type=tresc:"/>
      <w:r w:rsidR="00FF2989" w:rsidRPr="00FF2989">
        <w:t>Umow</w:t>
      </w:r>
      <w:bookmarkEnd w:id="1"/>
      <w:r w:rsidR="00FF2989">
        <w:t>y europejskiej dotyczącej</w:t>
      </w:r>
      <w:r w:rsidR="00FF2989" w:rsidRPr="00FF2989">
        <w:t xml:space="preserve"> międzynarodowego przewozu drogowego towarów niebezpiecznych (ADR), sporządzon</w:t>
      </w:r>
      <w:r w:rsidR="00FF2989">
        <w:t>ej</w:t>
      </w:r>
      <w:r w:rsidR="00FF2989" w:rsidRPr="00FF2989">
        <w:t xml:space="preserve"> </w:t>
      </w:r>
      <w:r w:rsidR="004B64F8">
        <w:br/>
      </w:r>
      <w:r w:rsidR="00FF2989" w:rsidRPr="00FF2989">
        <w:t>w Genewie dnia 30</w:t>
      </w:r>
      <w:r w:rsidR="00FF2989">
        <w:t xml:space="preserve"> września 1957 r. (Dz. U. z 2015 r. poz. 882</w:t>
      </w:r>
      <w:r w:rsidR="00FF2989" w:rsidRPr="00FF2989">
        <w:t xml:space="preserve">), wraz ze zmianami </w:t>
      </w:r>
      <w:r w:rsidR="00FF2989" w:rsidRPr="00FF2989">
        <w:lastRenderedPageBreak/>
        <w:t>obowiązującymi od dnia ich wejścia w życie w stosunku do Rzeczypospolitej Polskiej</w:t>
      </w:r>
      <w:r w:rsidR="00FF2989">
        <w:t xml:space="preserve">, zwanej dalej umową </w:t>
      </w:r>
      <w:r w:rsidR="00C702E0">
        <w:t>„</w:t>
      </w:r>
      <w:r w:rsidR="00FF2989">
        <w:t>ADR</w:t>
      </w:r>
      <w:r w:rsidR="00C702E0">
        <w:t>”</w:t>
      </w:r>
      <w:r w:rsidR="00FF2989">
        <w:t>.</w:t>
      </w:r>
    </w:p>
    <w:p w:rsidR="000640C6" w:rsidRDefault="0043444B">
      <w:pPr>
        <w:pStyle w:val="ARTartustawynprozporzdzenia"/>
      </w:pPr>
      <w:r w:rsidRPr="00823803">
        <w:t>2. Do przewozu ładunków płynnych lub zachowujących się podobnie jak płynne, niebędących towarami niebezpiecznymi stosuje się</w:t>
      </w:r>
      <w:r w:rsidR="00260C2F">
        <w:t xml:space="preserve"> odpowiednio przepis </w:t>
      </w:r>
      <w:r w:rsidR="00E96255">
        <w:t xml:space="preserve">Załącznika A Część 4 Działu </w:t>
      </w:r>
      <w:r w:rsidR="00260C2F">
        <w:t>4.3</w:t>
      </w:r>
      <w:r w:rsidR="00E96255">
        <w:t xml:space="preserve"> pkt </w:t>
      </w:r>
      <w:r w:rsidR="00260C2F">
        <w:t xml:space="preserve">2.2.4 </w:t>
      </w:r>
      <w:r w:rsidRPr="00823803">
        <w:t>umowy ADR.</w:t>
      </w:r>
    </w:p>
    <w:p w:rsidR="008547BD" w:rsidRPr="008547BD" w:rsidRDefault="00A00CC9" w:rsidP="008547BD">
      <w:pPr>
        <w:pStyle w:val="ARTartustawynprozporzdzenia"/>
      </w:pPr>
      <w:r>
        <w:rPr>
          <w:rStyle w:val="Ppogrubienie"/>
        </w:rPr>
        <w:t>§ 10</w:t>
      </w:r>
      <w:r w:rsidR="008547BD" w:rsidRPr="008547BD">
        <w:rPr>
          <w:rStyle w:val="Ppogrubienie"/>
        </w:rPr>
        <w:t>.</w:t>
      </w:r>
      <w:r w:rsidR="008547BD" w:rsidRPr="008547BD">
        <w:t> </w:t>
      </w:r>
      <w:r w:rsidR="00BE7178">
        <w:t xml:space="preserve"> </w:t>
      </w:r>
      <w:r w:rsidR="008547BD" w:rsidRPr="008547BD">
        <w:t xml:space="preserve">Rozporządzenie wchodzi w życie po upływie </w:t>
      </w:r>
      <w:r w:rsidR="005837FF">
        <w:t>14</w:t>
      </w:r>
      <w:r w:rsidR="008547BD" w:rsidRPr="008547BD">
        <w:t xml:space="preserve"> dni od dnia ogłoszenia.</w:t>
      </w:r>
    </w:p>
    <w:p w:rsidR="008E0D57" w:rsidRDefault="008E0D57" w:rsidP="00BE7178">
      <w:pPr>
        <w:pStyle w:val="ARTartustawynprozporzdzenia"/>
      </w:pPr>
    </w:p>
    <w:p w:rsidR="00260C2F" w:rsidRDefault="00260C2F" w:rsidP="00C40FE5">
      <w:pPr>
        <w:pStyle w:val="USTustnpkodeksu"/>
      </w:pPr>
    </w:p>
    <w:p w:rsidR="00260C2F" w:rsidRDefault="00260C2F" w:rsidP="00C40FE5">
      <w:pPr>
        <w:pStyle w:val="USTustnpkodeksu"/>
      </w:pPr>
    </w:p>
    <w:p w:rsidR="00260C2F" w:rsidRDefault="00260C2F" w:rsidP="00C40FE5">
      <w:pPr>
        <w:pStyle w:val="USTustnpkodeksu"/>
      </w:pPr>
    </w:p>
    <w:p w:rsidR="008547BD" w:rsidRPr="008547BD" w:rsidRDefault="008547BD" w:rsidP="008D27E4">
      <w:pPr>
        <w:pStyle w:val="USTustnpkodeksu"/>
        <w:ind w:firstLine="0"/>
      </w:pPr>
    </w:p>
    <w:p w:rsidR="008547BD" w:rsidRDefault="008547BD" w:rsidP="00B25795">
      <w:pPr>
        <w:pStyle w:val="NAZORGWYDnazwaorganuwydajcegoprojektowanyakt"/>
      </w:pPr>
      <w:r w:rsidRPr="008547BD">
        <w:t xml:space="preserve">MINISTER INFRASTRUKTURY </w:t>
      </w:r>
      <w:r w:rsidRPr="008547BD">
        <w:br/>
        <w:t xml:space="preserve">I BudOwnictwa </w:t>
      </w:r>
    </w:p>
    <w:p w:rsidR="008547BD" w:rsidRDefault="008547BD" w:rsidP="00C40FE5">
      <w:pPr>
        <w:pStyle w:val="USTustnpkodeksu"/>
      </w:pPr>
    </w:p>
    <w:p w:rsidR="008547BD" w:rsidRDefault="008547BD" w:rsidP="00C40FE5">
      <w:pPr>
        <w:pStyle w:val="USTustnpkodeksu"/>
      </w:pPr>
    </w:p>
    <w:p w:rsidR="002C4F03" w:rsidRDefault="002C4F03" w:rsidP="002C4F03">
      <w:pPr>
        <w:sectPr w:rsidR="002C4F03" w:rsidSect="002C4F03">
          <w:headerReference w:type="default" r:id="rId10"/>
          <w:footnotePr>
            <w:numRestart w:val="eachSect"/>
          </w:footnotePr>
          <w:pgSz w:w="11906" w:h="16838"/>
          <w:pgMar w:top="1560" w:right="1434" w:bottom="1560" w:left="1418" w:header="709" w:footer="709" w:gutter="0"/>
          <w:cols w:space="708"/>
          <w:titlePg/>
          <w:docGrid w:linePitch="254"/>
        </w:sectPr>
      </w:pPr>
    </w:p>
    <w:p w:rsidR="002C4F03" w:rsidRDefault="002C4F03" w:rsidP="00D54154">
      <w:pPr>
        <w:jc w:val="center"/>
        <w:rPr>
          <w:rFonts w:cs="Times New Roman"/>
          <w:b/>
          <w:bCs/>
          <w:szCs w:val="24"/>
        </w:rPr>
      </w:pPr>
      <w:r w:rsidRPr="00FB4DF8">
        <w:rPr>
          <w:rFonts w:cs="Times New Roman"/>
          <w:b/>
          <w:bCs/>
          <w:szCs w:val="24"/>
        </w:rPr>
        <w:lastRenderedPageBreak/>
        <w:t>UZASADNIENIE</w:t>
      </w:r>
    </w:p>
    <w:p w:rsidR="002C4F03" w:rsidRPr="00FB4DF8" w:rsidRDefault="002C4F03" w:rsidP="00D54154">
      <w:pPr>
        <w:jc w:val="center"/>
        <w:rPr>
          <w:rFonts w:cs="Times New Roman"/>
          <w:b/>
          <w:bCs/>
          <w:szCs w:val="24"/>
        </w:rPr>
      </w:pPr>
    </w:p>
    <w:p w:rsidR="002C4F03" w:rsidRDefault="002C4F03" w:rsidP="000D1BD3">
      <w:pPr>
        <w:jc w:val="both"/>
        <w:rPr>
          <w:rFonts w:cs="Times New Roman"/>
          <w:szCs w:val="24"/>
        </w:rPr>
      </w:pPr>
      <w:r w:rsidRPr="00233E50">
        <w:rPr>
          <w:rFonts w:cs="Times New Roman"/>
          <w:szCs w:val="24"/>
        </w:rPr>
        <w:t xml:space="preserve">Projekt rozporządzenia </w:t>
      </w:r>
      <w:r w:rsidRPr="00772DF6">
        <w:rPr>
          <w:rFonts w:cs="Times New Roman"/>
          <w:szCs w:val="24"/>
        </w:rPr>
        <w:t>Ministra Infrastrukt</w:t>
      </w:r>
      <w:r>
        <w:rPr>
          <w:rFonts w:cs="Times New Roman"/>
          <w:szCs w:val="24"/>
        </w:rPr>
        <w:t xml:space="preserve">ury i Budownictwa </w:t>
      </w:r>
      <w:r w:rsidRPr="00772DF6">
        <w:rPr>
          <w:rFonts w:cs="Times New Roman"/>
          <w:szCs w:val="24"/>
        </w:rPr>
        <w:t xml:space="preserve">w sprawie </w:t>
      </w:r>
      <w:r>
        <w:rPr>
          <w:rFonts w:cs="Times New Roman"/>
          <w:szCs w:val="24"/>
        </w:rPr>
        <w:t xml:space="preserve">sposobu przewozu ładunku </w:t>
      </w:r>
      <w:r w:rsidRPr="00772DF6">
        <w:rPr>
          <w:rFonts w:cs="Times New Roman"/>
          <w:szCs w:val="24"/>
        </w:rPr>
        <w:t xml:space="preserve">został przygotowany na podstawie upoważnienia zawartego w </w:t>
      </w:r>
      <w:r w:rsidRPr="00233E50">
        <w:rPr>
          <w:rFonts w:cs="Times New Roman"/>
          <w:szCs w:val="24"/>
        </w:rPr>
        <w:t xml:space="preserve">art. 61 ust. 17 </w:t>
      </w:r>
      <w:r w:rsidRPr="00EA16E6">
        <w:rPr>
          <w:rFonts w:cs="Times New Roman"/>
          <w:i/>
          <w:szCs w:val="24"/>
        </w:rPr>
        <w:t xml:space="preserve">ustawy </w:t>
      </w:r>
      <w:r w:rsidRPr="00EA16E6">
        <w:rPr>
          <w:rFonts w:cs="Times New Roman"/>
          <w:i/>
          <w:szCs w:val="24"/>
        </w:rPr>
        <w:br/>
        <w:t>z dnia 20 czerwca 1997 r. – Prawo o ruchu drogowym</w:t>
      </w:r>
      <w:r w:rsidRPr="00772DF6">
        <w:rPr>
          <w:rFonts w:cs="Times New Roman"/>
          <w:szCs w:val="24"/>
        </w:rPr>
        <w:t xml:space="preserve"> (Dz. U. z 201</w:t>
      </w:r>
      <w:r>
        <w:rPr>
          <w:rFonts w:cs="Times New Roman"/>
          <w:szCs w:val="24"/>
        </w:rPr>
        <w:t>7</w:t>
      </w:r>
      <w:r w:rsidRPr="00772DF6">
        <w:rPr>
          <w:rFonts w:cs="Times New Roman"/>
          <w:szCs w:val="24"/>
        </w:rPr>
        <w:t xml:space="preserve"> r. poz. 1</w:t>
      </w:r>
      <w:r>
        <w:rPr>
          <w:rFonts w:cs="Times New Roman"/>
          <w:szCs w:val="24"/>
        </w:rPr>
        <w:t>28, ze zm.</w:t>
      </w:r>
      <w:r w:rsidRPr="00772DF6">
        <w:rPr>
          <w:rFonts w:cs="Times New Roman"/>
          <w:szCs w:val="24"/>
        </w:rPr>
        <w:t>)</w:t>
      </w:r>
      <w:r>
        <w:rPr>
          <w:rFonts w:cs="Times New Roman"/>
          <w:szCs w:val="24"/>
        </w:rPr>
        <w:t xml:space="preserve">. </w:t>
      </w:r>
    </w:p>
    <w:p w:rsidR="002C4F03" w:rsidRDefault="002C4F03" w:rsidP="000D1BD3">
      <w:pPr>
        <w:jc w:val="both"/>
        <w:rPr>
          <w:rFonts w:cs="Times New Roman"/>
          <w:szCs w:val="24"/>
        </w:rPr>
      </w:pPr>
    </w:p>
    <w:p w:rsidR="002C4F03" w:rsidRDefault="002C4F03" w:rsidP="000D1BD3">
      <w:pPr>
        <w:jc w:val="both"/>
        <w:rPr>
          <w:rFonts w:cs="Times New Roman"/>
          <w:szCs w:val="24"/>
        </w:rPr>
      </w:pPr>
      <w:r w:rsidRPr="000544AD">
        <w:rPr>
          <w:rFonts w:cs="Times New Roman"/>
          <w:szCs w:val="24"/>
        </w:rPr>
        <w:t xml:space="preserve">W obowiązującym stanie prawnym brak jest szczegółowych regulacji dotyczących sposobu przewozu ładunku. Ustawodawca w </w:t>
      </w:r>
      <w:r w:rsidRPr="00EA16E6">
        <w:rPr>
          <w:rFonts w:cs="Times New Roman"/>
          <w:i/>
          <w:szCs w:val="24"/>
        </w:rPr>
        <w:t>ustawie z dnia 20 czerwca 1997 r. – Prawo o ruchu drogowym</w:t>
      </w:r>
      <w:r w:rsidRPr="000544AD">
        <w:rPr>
          <w:rFonts w:cs="Times New Roman"/>
          <w:szCs w:val="24"/>
        </w:rPr>
        <w:t xml:space="preserve"> określił jedynie podstawowe kwestie odnoszące się do sposobu przewozu ładunku i jednocześnie wprowadził fakultatywne upoważnienie dla ministra właściwego do spraw transportu do wydania rozporządzenia w tych kwestiach. </w:t>
      </w:r>
    </w:p>
    <w:p w:rsidR="002C4F03" w:rsidRDefault="002C4F03" w:rsidP="000D1BD3">
      <w:pPr>
        <w:spacing w:line="276" w:lineRule="auto"/>
        <w:rPr>
          <w:rFonts w:eastAsiaTheme="minorHAnsi" w:cs="Times New Roman"/>
          <w:szCs w:val="24"/>
          <w:lang w:eastAsia="en-US"/>
        </w:rPr>
      </w:pPr>
      <w:r w:rsidRPr="00233E50">
        <w:rPr>
          <w:rFonts w:eastAsiaTheme="minorHAnsi" w:cs="Times New Roman"/>
          <w:szCs w:val="24"/>
          <w:lang w:eastAsia="en-US"/>
        </w:rPr>
        <w:t xml:space="preserve">Niniejsze rozporządzenie w zakresie swojej regulacji uwzględnia także „Zasady zabezpieczenia ładunku” określone w pkt 1 załącznika III </w:t>
      </w:r>
      <w:r w:rsidRPr="007C3DAE">
        <w:rPr>
          <w:rFonts w:eastAsiaTheme="minorHAnsi" w:cs="Times New Roman"/>
          <w:i/>
          <w:szCs w:val="24"/>
          <w:lang w:eastAsia="en-US"/>
        </w:rPr>
        <w:t>dyrektywy Parlamentu Europejskiego i Rady 2014/47/UE z dnia 3 kwietnia 2014 r. w sprawie drogowej kontroli technicznej dotyczącej zdatności do ruchu drogowego pojazdów użytkowych poruszających się w Unii oraz uchylającej dyrektywę 2000/30/WE</w:t>
      </w:r>
      <w:r w:rsidRPr="00233E50">
        <w:rPr>
          <w:rFonts w:eastAsiaTheme="minorHAnsi" w:cs="Times New Roman"/>
          <w:szCs w:val="24"/>
          <w:lang w:eastAsia="en-US"/>
        </w:rPr>
        <w:t xml:space="preserve"> (Dz. Urz. UE L 127 z 29.04.2014, str. 134).</w:t>
      </w:r>
      <w:r>
        <w:rPr>
          <w:rFonts w:eastAsiaTheme="minorHAnsi" w:cs="Times New Roman"/>
          <w:szCs w:val="24"/>
          <w:lang w:eastAsia="en-US"/>
        </w:rPr>
        <w:t xml:space="preserve"> </w:t>
      </w:r>
    </w:p>
    <w:p w:rsidR="002C4F03" w:rsidRDefault="002C4F03" w:rsidP="000D1BD3">
      <w:pPr>
        <w:spacing w:line="276" w:lineRule="auto"/>
        <w:rPr>
          <w:rFonts w:eastAsiaTheme="minorHAnsi" w:cs="Times New Roman"/>
          <w:szCs w:val="24"/>
          <w:lang w:eastAsia="en-US"/>
        </w:rPr>
      </w:pPr>
    </w:p>
    <w:p w:rsidR="002C4F03" w:rsidRPr="001D71E8" w:rsidRDefault="002C4F03" w:rsidP="000D1BD3">
      <w:pPr>
        <w:spacing w:line="276" w:lineRule="auto"/>
        <w:rPr>
          <w:rFonts w:eastAsiaTheme="minorHAnsi" w:cs="Times New Roman"/>
          <w:szCs w:val="24"/>
          <w:lang w:eastAsia="en-US"/>
        </w:rPr>
      </w:pPr>
      <w:r>
        <w:rPr>
          <w:rFonts w:cs="Times New Roman"/>
          <w:szCs w:val="24"/>
        </w:rPr>
        <w:t>Projekt rozporządzenia</w:t>
      </w:r>
      <w:r w:rsidRPr="000544AD">
        <w:rPr>
          <w:rFonts w:cs="Times New Roman"/>
          <w:szCs w:val="24"/>
        </w:rPr>
        <w:t xml:space="preserve"> </w:t>
      </w:r>
      <w:r>
        <w:rPr>
          <w:rFonts w:cs="Times New Roman"/>
          <w:szCs w:val="24"/>
        </w:rPr>
        <w:t>określa</w:t>
      </w:r>
      <w:r w:rsidRPr="000544AD">
        <w:rPr>
          <w:rFonts w:cs="Times New Roman"/>
          <w:szCs w:val="24"/>
        </w:rPr>
        <w:t xml:space="preserve"> sposób przewozu ładunku, </w:t>
      </w:r>
      <w:r>
        <w:rPr>
          <w:rFonts w:cs="Times New Roman"/>
          <w:szCs w:val="24"/>
        </w:rPr>
        <w:t xml:space="preserve">z uwzględnieniem </w:t>
      </w:r>
      <w:r w:rsidRPr="000544AD">
        <w:rPr>
          <w:rFonts w:cs="Times New Roman"/>
          <w:szCs w:val="24"/>
        </w:rPr>
        <w:t>jego rozmieszczeni</w:t>
      </w:r>
      <w:r>
        <w:rPr>
          <w:rFonts w:cs="Times New Roman"/>
          <w:szCs w:val="24"/>
        </w:rPr>
        <w:t>a</w:t>
      </w:r>
      <w:r w:rsidRPr="000544AD">
        <w:rPr>
          <w:rFonts w:cs="Times New Roman"/>
          <w:szCs w:val="24"/>
        </w:rPr>
        <w:t xml:space="preserve"> oraz </w:t>
      </w:r>
      <w:r>
        <w:rPr>
          <w:rFonts w:cs="Times New Roman"/>
          <w:szCs w:val="24"/>
        </w:rPr>
        <w:t xml:space="preserve">wpływu </w:t>
      </w:r>
      <w:r w:rsidRPr="00233E50">
        <w:rPr>
          <w:rFonts w:cs="Times New Roman"/>
          <w:szCs w:val="24"/>
        </w:rPr>
        <w:t xml:space="preserve">mocowania na pojeździe stosownie do rodzaju przewożonego ładunku. Przedmiotowy projekt wprowadza także wymagania dla urządzeń służących do mocowania ładunku na pojeździe. Projekt rozporządzenia dotyczy pojazdów należących do kategorii N i O, o których mowa w załączniku nr 2 </w:t>
      </w:r>
      <w:r w:rsidRPr="00EA16E6">
        <w:rPr>
          <w:rFonts w:cs="Times New Roman"/>
          <w:i/>
          <w:szCs w:val="24"/>
        </w:rPr>
        <w:t>ustawy z dnia 20 czerwca 1997 r. – Prawo o ruchu drogowym</w:t>
      </w:r>
      <w:r w:rsidRPr="00F91590">
        <w:rPr>
          <w:rFonts w:cs="Times New Roman"/>
          <w:szCs w:val="24"/>
        </w:rPr>
        <w:t>.</w:t>
      </w:r>
    </w:p>
    <w:p w:rsidR="002C4F03" w:rsidRPr="00233E50" w:rsidRDefault="002C4F03" w:rsidP="000D1BD3">
      <w:pPr>
        <w:jc w:val="both"/>
        <w:rPr>
          <w:rFonts w:cs="Times New Roman"/>
          <w:szCs w:val="24"/>
        </w:rPr>
      </w:pPr>
      <w:r w:rsidRPr="00233E50">
        <w:rPr>
          <w:rFonts w:cs="Times New Roman"/>
          <w:szCs w:val="24"/>
        </w:rPr>
        <w:t>Nieodpowiedni</w:t>
      </w:r>
      <w:r>
        <w:rPr>
          <w:rFonts w:cs="Times New Roman"/>
          <w:szCs w:val="24"/>
        </w:rPr>
        <w:t>e rozmieszczenie lub zamocowanie</w:t>
      </w:r>
      <w:r w:rsidRPr="00233E50">
        <w:rPr>
          <w:rFonts w:cs="Times New Roman"/>
          <w:szCs w:val="24"/>
        </w:rPr>
        <w:t xml:space="preserve"> ładunku prowadzi do wypadków drogowych</w:t>
      </w:r>
      <w:r>
        <w:rPr>
          <w:rFonts w:cs="Times New Roman"/>
          <w:szCs w:val="24"/>
        </w:rPr>
        <w:t>, d</w:t>
      </w:r>
      <w:r w:rsidRPr="00233E50">
        <w:rPr>
          <w:rFonts w:cs="Times New Roman"/>
          <w:szCs w:val="24"/>
        </w:rPr>
        <w:t>latego też ładunek powinien być zabezpieczony w taki sposób, aby nie zagrażał bezpieczeństwu ruchu drogowego, nie stanowił zagrożenia dla zdrowia i życia ludzi, mienia oraz środowiska.</w:t>
      </w:r>
    </w:p>
    <w:p w:rsidR="002C4F03" w:rsidRPr="000D1BD3" w:rsidRDefault="002C4F03" w:rsidP="000D1BD3">
      <w:pPr>
        <w:spacing w:after="162" w:line="276" w:lineRule="auto"/>
        <w:jc w:val="both"/>
        <w:rPr>
          <w:rFonts w:cs="Times New Roman"/>
        </w:rPr>
      </w:pPr>
      <w:r w:rsidRPr="00233E50">
        <w:rPr>
          <w:rFonts w:cs="Times New Roman"/>
        </w:rPr>
        <w:t xml:space="preserve">Projekt rozporządzenia określa w § </w:t>
      </w:r>
      <w:r>
        <w:rPr>
          <w:rFonts w:cs="Times New Roman"/>
        </w:rPr>
        <w:t>1, że</w:t>
      </w:r>
      <w:r w:rsidRPr="00233E50">
        <w:rPr>
          <w:rFonts w:cs="Times New Roman"/>
        </w:rPr>
        <w:t xml:space="preserve"> </w:t>
      </w:r>
      <w:r w:rsidRPr="00593FA4">
        <w:rPr>
          <w:rFonts w:cs="Times New Roman"/>
          <w:b/>
        </w:rPr>
        <w:t>s</w:t>
      </w:r>
      <w:r w:rsidRPr="00950C3B">
        <w:rPr>
          <w:rStyle w:val="Ppogrubienie"/>
        </w:rPr>
        <w:t xml:space="preserve">posób </w:t>
      </w:r>
      <w:r w:rsidRPr="00593FA4">
        <w:rPr>
          <w:rStyle w:val="Ppogrubienie"/>
          <w:rFonts w:cs="Times New Roman"/>
        </w:rPr>
        <w:t>mocowania</w:t>
      </w:r>
      <w:r w:rsidRPr="00950C3B">
        <w:rPr>
          <w:rStyle w:val="Ppogrubienie"/>
        </w:rPr>
        <w:t xml:space="preserve"> ładunku przeznaczonego do przewozu powinien odpowiadać wymaganiom określonym </w:t>
      </w:r>
      <w:r w:rsidRPr="00233E50">
        <w:rPr>
          <w:rFonts w:cs="Times New Roman"/>
        </w:rPr>
        <w:t xml:space="preserve">w </w:t>
      </w:r>
      <w:r w:rsidRPr="00556BAE">
        <w:rPr>
          <w:rFonts w:cs="Times New Roman"/>
          <w:i/>
        </w:rPr>
        <w:t xml:space="preserve">Wytycznych </w:t>
      </w:r>
      <w:r>
        <w:rPr>
          <w:rFonts w:cs="Times New Roman"/>
          <w:i/>
        </w:rPr>
        <w:br/>
      </w:r>
      <w:r w:rsidRPr="00556BAE">
        <w:rPr>
          <w:rFonts w:cs="Times New Roman"/>
          <w:i/>
        </w:rPr>
        <w:t xml:space="preserve">z 2014 r. odnośnie do europejskich najlepszych praktyk w zakresie mocowania ładunków </w:t>
      </w:r>
      <w:r w:rsidRPr="00556BAE">
        <w:rPr>
          <w:rFonts w:cs="Times New Roman"/>
          <w:i/>
        </w:rPr>
        <w:br/>
        <w:t>w transporcie drogowym</w:t>
      </w:r>
      <w:r w:rsidRPr="00233E50">
        <w:rPr>
          <w:rFonts w:cs="Times New Roman"/>
        </w:rPr>
        <w:t xml:space="preserve">, które zostały opracowane przez Grupę Ekspertów powołaną przez </w:t>
      </w:r>
      <w:r w:rsidRPr="000D1BD3">
        <w:rPr>
          <w:rFonts w:cs="Times New Roman"/>
        </w:rPr>
        <w:t>Dyrekcję Generalną ds. Mobilności i Transportu. W jej skład weszli eksperci wyznaczeni przez państwa członkowskie i branżę. Jest to akt wydany przez Komisję Europejską niemający mocy wiążącej.  Po</w:t>
      </w:r>
      <w:r>
        <w:rPr>
          <w:rFonts w:cs="Times New Roman"/>
        </w:rPr>
        <w:t xml:space="preserve">dczas korzystania z </w:t>
      </w:r>
      <w:r w:rsidRPr="000D1BD3">
        <w:rPr>
          <w:rFonts w:cs="Times New Roman"/>
        </w:rPr>
        <w:t>wytycznych</w:t>
      </w:r>
      <w:r>
        <w:rPr>
          <w:rFonts w:cs="Times New Roman"/>
        </w:rPr>
        <w:t xml:space="preserve"> w zakresie najlepszych praktyk </w:t>
      </w:r>
      <w:r w:rsidRPr="000D1BD3">
        <w:rPr>
          <w:rFonts w:cs="Times New Roman"/>
        </w:rPr>
        <w:t>należy upewnić się, czy stosowane metody są odpowiednie w odniesieniu do określonej sytuacji i w stosownych przypadkach podjąć dalsze środki ostrożności.</w:t>
      </w:r>
    </w:p>
    <w:p w:rsidR="002C4F03" w:rsidRPr="00233E50" w:rsidRDefault="002C4F03" w:rsidP="000D1BD3">
      <w:pPr>
        <w:jc w:val="both"/>
        <w:rPr>
          <w:rFonts w:cs="Times New Roman"/>
          <w:szCs w:val="24"/>
        </w:rPr>
      </w:pPr>
      <w:r w:rsidRPr="00233E50">
        <w:rPr>
          <w:rFonts w:cs="Times New Roman"/>
          <w:szCs w:val="24"/>
        </w:rPr>
        <w:t xml:space="preserve">Ładunek należy umieścić na pojeździe w taki sposób, aby nie mógł przemieścić się podczas </w:t>
      </w:r>
      <w:r w:rsidRPr="00233E50">
        <w:rPr>
          <w:rFonts w:cs="Times New Roman"/>
          <w:szCs w:val="24"/>
        </w:rPr>
        <w:lastRenderedPageBreak/>
        <w:t>jazdy. Przy rozmieszczeniu ładunku istotne jest uwzględnienie konstrukcji pojazdu, rodzaju przewożonego ładunku oraz zaleceń producenta.</w:t>
      </w:r>
      <w:r>
        <w:rPr>
          <w:rFonts w:cs="Times New Roman"/>
          <w:szCs w:val="24"/>
        </w:rPr>
        <w:t xml:space="preserve"> Podczas przewozu zabezpieczenie musi zapobiegać przechyleniu się lub wywróceniu ładunku. </w:t>
      </w:r>
      <w:r w:rsidRPr="007C3DAE">
        <w:rPr>
          <w:rFonts w:cs="Times New Roman"/>
          <w:szCs w:val="24"/>
        </w:rPr>
        <w:t>Należy zabezpieczyć ładunek w sposób umożliwiający sprostanie przyspieszeniom podczas eksploatacji pojazdu na drodze.</w:t>
      </w:r>
      <w:r>
        <w:rPr>
          <w:rFonts w:cs="Times New Roman"/>
          <w:szCs w:val="24"/>
        </w:rPr>
        <w:t xml:space="preserve"> System mocowania ładunku powinien stawić opór siłom wynikającym z przyspieszenia bądź zmniejszenia prędkości pojazdu wynoszącym: 0,8 razy waga ładunku w kierunku jazdy oraz 0,5 razy waga ładunku w kierunku bocznym i przeciwnym do kierunku jazdy.</w:t>
      </w:r>
    </w:p>
    <w:p w:rsidR="002C4F03" w:rsidRPr="00233E50" w:rsidRDefault="002C4F03" w:rsidP="000D1BD3">
      <w:pPr>
        <w:jc w:val="both"/>
        <w:rPr>
          <w:rFonts w:cs="Times New Roman"/>
          <w:szCs w:val="24"/>
        </w:rPr>
      </w:pPr>
    </w:p>
    <w:p w:rsidR="002C4F03" w:rsidRPr="00233E50" w:rsidRDefault="002C4F03" w:rsidP="000D1BD3">
      <w:pPr>
        <w:jc w:val="both"/>
        <w:rPr>
          <w:rFonts w:cs="Times New Roman"/>
          <w:szCs w:val="24"/>
        </w:rPr>
      </w:pPr>
      <w:r w:rsidRPr="00233E50">
        <w:rPr>
          <w:rFonts w:cs="Times New Roman"/>
          <w:szCs w:val="24"/>
        </w:rPr>
        <w:t xml:space="preserve">Projektodawca w § 2 określił wymagania dla konstrukcji przestrzeni ładunkowej pojazdu przeznaczonego do przewozu ładunku. Przestrzeń ładunkowa powinna być utrzymana </w:t>
      </w:r>
      <w:r>
        <w:rPr>
          <w:rFonts w:cs="Times New Roman"/>
          <w:szCs w:val="24"/>
        </w:rPr>
        <w:br/>
      </w:r>
      <w:r w:rsidRPr="00233E50">
        <w:rPr>
          <w:rFonts w:cs="Times New Roman"/>
          <w:szCs w:val="24"/>
        </w:rPr>
        <w:t xml:space="preserve">w czystości. </w:t>
      </w:r>
    </w:p>
    <w:p w:rsidR="002C4F03" w:rsidRPr="00233E50" w:rsidRDefault="002C4F03" w:rsidP="000D1BD3">
      <w:pPr>
        <w:jc w:val="both"/>
        <w:rPr>
          <w:rFonts w:cs="Times New Roman"/>
          <w:szCs w:val="24"/>
        </w:rPr>
      </w:pPr>
    </w:p>
    <w:p w:rsidR="002C4F03" w:rsidRPr="00233E50" w:rsidRDefault="002C4F03" w:rsidP="000D1BD3">
      <w:pPr>
        <w:spacing w:line="276" w:lineRule="auto"/>
        <w:rPr>
          <w:rFonts w:eastAsiaTheme="minorHAnsi" w:cs="Times New Roman"/>
          <w:szCs w:val="24"/>
          <w:lang w:eastAsia="en-US"/>
        </w:rPr>
      </w:pPr>
      <w:r w:rsidRPr="00233E50">
        <w:rPr>
          <w:rFonts w:eastAsiaTheme="minorHAnsi" w:cs="Times New Roman"/>
          <w:szCs w:val="24"/>
          <w:lang w:eastAsia="en-US"/>
        </w:rPr>
        <w:t>Wymagania techniczne w odniesieniu do elementów konstrukcji pojazdu</w:t>
      </w:r>
      <w:r>
        <w:rPr>
          <w:rFonts w:eastAsiaTheme="minorHAnsi" w:cs="Times New Roman"/>
          <w:szCs w:val="24"/>
          <w:lang w:eastAsia="en-US"/>
        </w:rPr>
        <w:t xml:space="preserve"> związanych z zabezpieczeniem przewożonego ładunku, </w:t>
      </w:r>
      <w:r w:rsidRPr="00233E50">
        <w:rPr>
          <w:rFonts w:eastAsiaTheme="minorHAnsi" w:cs="Times New Roman"/>
          <w:szCs w:val="24"/>
          <w:lang w:eastAsia="en-US"/>
        </w:rPr>
        <w:t>w szczególności kontenerów ISO, nadwozi wymiennych, plandek, żerdzi – kłonic</w:t>
      </w:r>
      <w:r>
        <w:rPr>
          <w:rFonts w:eastAsiaTheme="minorHAnsi" w:cs="Times New Roman"/>
          <w:szCs w:val="24"/>
          <w:lang w:eastAsia="en-US"/>
        </w:rPr>
        <w:t>,</w:t>
      </w:r>
      <w:r w:rsidRPr="00233E50">
        <w:rPr>
          <w:rFonts w:eastAsiaTheme="minorHAnsi" w:cs="Times New Roman"/>
          <w:szCs w:val="24"/>
          <w:lang w:eastAsia="en-US"/>
        </w:rPr>
        <w:t xml:space="preserve"> powinny być zgodne z aktualnym poziomem wiedzy inżynierskiej</w:t>
      </w:r>
      <w:r>
        <w:rPr>
          <w:rFonts w:eastAsiaTheme="minorHAnsi" w:cs="Times New Roman"/>
          <w:szCs w:val="24"/>
          <w:lang w:eastAsia="en-US"/>
        </w:rPr>
        <w:t>. Wymagania te zostały</w:t>
      </w:r>
      <w:r w:rsidRPr="00233E50">
        <w:rPr>
          <w:rFonts w:eastAsiaTheme="minorHAnsi" w:cs="Times New Roman"/>
          <w:szCs w:val="24"/>
          <w:lang w:eastAsia="en-US"/>
        </w:rPr>
        <w:t xml:space="preserve"> opisan</w:t>
      </w:r>
      <w:r>
        <w:rPr>
          <w:rFonts w:eastAsiaTheme="minorHAnsi" w:cs="Times New Roman"/>
          <w:szCs w:val="24"/>
          <w:lang w:eastAsia="en-US"/>
        </w:rPr>
        <w:t>e</w:t>
      </w:r>
      <w:r w:rsidRPr="00233E50">
        <w:rPr>
          <w:rFonts w:eastAsiaTheme="minorHAnsi" w:cs="Times New Roman"/>
          <w:szCs w:val="24"/>
          <w:lang w:eastAsia="en-US"/>
        </w:rPr>
        <w:t xml:space="preserve"> w następujących normach: </w:t>
      </w:r>
    </w:p>
    <w:p w:rsidR="002C4F03" w:rsidRPr="00233E50" w:rsidRDefault="002C4F03" w:rsidP="002C4F03">
      <w:pPr>
        <w:widowControl/>
        <w:numPr>
          <w:ilvl w:val="0"/>
          <w:numId w:val="45"/>
        </w:numPr>
        <w:suppressAutoHyphens/>
        <w:spacing w:before="120" w:line="276" w:lineRule="auto"/>
        <w:jc w:val="both"/>
        <w:rPr>
          <w:rFonts w:eastAsiaTheme="minorHAnsi" w:cs="Times New Roman"/>
          <w:szCs w:val="24"/>
          <w:lang w:eastAsia="en-US"/>
        </w:rPr>
      </w:pPr>
      <w:r w:rsidRPr="00233E50">
        <w:rPr>
          <w:rFonts w:eastAsiaTheme="minorHAnsi" w:cs="Times New Roman"/>
          <w:szCs w:val="24"/>
          <w:lang w:eastAsia="en-US"/>
        </w:rPr>
        <w:t xml:space="preserve">PN-ISO 1161 „Kontenery ładunkowe serii 1 - Naroża zaczepowe – Wymagania. Norma ustala </w:t>
      </w:r>
      <w:r w:rsidRPr="00600762">
        <w:rPr>
          <w:rFonts w:eastAsiaTheme="minorHAnsi" w:cs="Times New Roman"/>
          <w:szCs w:val="24"/>
          <w:lang w:eastAsia="en-US"/>
        </w:rPr>
        <w:t xml:space="preserve">podstawowe wymiary i wymagania funkcjonalne </w:t>
      </w:r>
      <w:r>
        <w:rPr>
          <w:rFonts w:eastAsiaTheme="minorHAnsi" w:cs="Times New Roman"/>
          <w:szCs w:val="24"/>
          <w:lang w:eastAsia="en-US"/>
        </w:rPr>
        <w:br/>
      </w:r>
      <w:r w:rsidRPr="00600762">
        <w:rPr>
          <w:rFonts w:eastAsiaTheme="minorHAnsi" w:cs="Times New Roman"/>
          <w:szCs w:val="24"/>
          <w:lang w:eastAsia="en-US"/>
        </w:rPr>
        <w:t>i wytrzymałościowe dla naroży zaczepowych do kontenerów ładunkowych serii 1</w:t>
      </w:r>
      <w:r w:rsidRPr="00233E50">
        <w:rPr>
          <w:rFonts w:eastAsiaTheme="minorHAnsi" w:cs="Times New Roman"/>
          <w:szCs w:val="24"/>
          <w:lang w:eastAsia="en-US"/>
        </w:rPr>
        <w:t xml:space="preserve">; </w:t>
      </w:r>
    </w:p>
    <w:p w:rsidR="002C4F03" w:rsidRPr="00233E50" w:rsidRDefault="002C4F03" w:rsidP="002C4F03">
      <w:pPr>
        <w:widowControl/>
        <w:numPr>
          <w:ilvl w:val="0"/>
          <w:numId w:val="45"/>
        </w:numPr>
        <w:suppressAutoHyphens/>
        <w:spacing w:before="120" w:line="276" w:lineRule="auto"/>
        <w:jc w:val="both"/>
        <w:rPr>
          <w:rFonts w:eastAsiaTheme="minorHAnsi" w:cs="Times New Roman"/>
          <w:szCs w:val="24"/>
          <w:lang w:eastAsia="en-US"/>
        </w:rPr>
      </w:pPr>
      <w:r w:rsidRPr="00233E50">
        <w:rPr>
          <w:rFonts w:eastAsiaTheme="minorHAnsi" w:cs="Times New Roman"/>
          <w:szCs w:val="24"/>
          <w:lang w:eastAsia="en-US"/>
        </w:rPr>
        <w:t xml:space="preserve">PN-ISO-1496 „Kontenery ładunkowe serii 1 - Wymagania i metody badań - Kontenery ogólnego użytku do różnych ładunków; </w:t>
      </w:r>
    </w:p>
    <w:p w:rsidR="002C4F03" w:rsidRPr="00233E50" w:rsidRDefault="002C4F03" w:rsidP="002C4F03">
      <w:pPr>
        <w:widowControl/>
        <w:numPr>
          <w:ilvl w:val="0"/>
          <w:numId w:val="45"/>
        </w:numPr>
        <w:suppressAutoHyphens/>
        <w:spacing w:before="120" w:line="276" w:lineRule="auto"/>
        <w:jc w:val="both"/>
        <w:rPr>
          <w:rFonts w:eastAsiaTheme="minorHAnsi" w:cs="Times New Roman"/>
          <w:szCs w:val="24"/>
          <w:lang w:eastAsia="en-US"/>
        </w:rPr>
      </w:pPr>
      <w:r w:rsidRPr="00233E50">
        <w:rPr>
          <w:rFonts w:eastAsiaTheme="minorHAnsi" w:cs="Times New Roman"/>
          <w:szCs w:val="24"/>
          <w:lang w:eastAsia="en-US"/>
        </w:rPr>
        <w:t>PN-EN-283 „Nadwozia wymienne - Badania”;</w:t>
      </w:r>
    </w:p>
    <w:p w:rsidR="002C4F03" w:rsidRPr="00233E50" w:rsidRDefault="002C4F03" w:rsidP="002C4F03">
      <w:pPr>
        <w:widowControl/>
        <w:numPr>
          <w:ilvl w:val="0"/>
          <w:numId w:val="45"/>
        </w:numPr>
        <w:suppressAutoHyphens/>
        <w:spacing w:before="120" w:line="276" w:lineRule="auto"/>
        <w:jc w:val="both"/>
        <w:rPr>
          <w:rFonts w:eastAsiaTheme="minorHAnsi" w:cs="Times New Roman"/>
          <w:szCs w:val="24"/>
          <w:lang w:eastAsia="en-US"/>
        </w:rPr>
      </w:pPr>
      <w:r w:rsidRPr="00233E50">
        <w:rPr>
          <w:rFonts w:eastAsiaTheme="minorHAnsi" w:cs="Times New Roman"/>
          <w:szCs w:val="24"/>
          <w:lang w:eastAsia="en-US"/>
        </w:rPr>
        <w:t>PN-EN 12641 „Nadwozia wymienne - Opończe - Część 1: Wymagania minimalne”;</w:t>
      </w:r>
    </w:p>
    <w:p w:rsidR="002C4F03" w:rsidRPr="00233E50" w:rsidRDefault="002C4F03" w:rsidP="002C4F03">
      <w:pPr>
        <w:widowControl/>
        <w:numPr>
          <w:ilvl w:val="0"/>
          <w:numId w:val="45"/>
        </w:numPr>
        <w:suppressAutoHyphens/>
        <w:spacing w:before="120" w:line="276" w:lineRule="auto"/>
        <w:jc w:val="both"/>
        <w:rPr>
          <w:rFonts w:eastAsiaTheme="minorHAnsi" w:cs="Times New Roman"/>
          <w:szCs w:val="24"/>
          <w:lang w:eastAsia="en-US"/>
        </w:rPr>
      </w:pPr>
      <w:r w:rsidRPr="00233E50">
        <w:rPr>
          <w:rFonts w:eastAsiaTheme="minorHAnsi" w:cs="Times New Roman"/>
          <w:szCs w:val="24"/>
          <w:lang w:eastAsia="en-US"/>
        </w:rPr>
        <w:t>EUMOS 40511 „Metoda badania słupów zamontowanych, używanych do zabezpieczania ładunku na drogowych pojazdach i przyczepach”.</w:t>
      </w:r>
    </w:p>
    <w:p w:rsidR="002C4F03" w:rsidRPr="00233E50" w:rsidRDefault="002C4F03" w:rsidP="000D1BD3">
      <w:pPr>
        <w:jc w:val="both"/>
        <w:rPr>
          <w:rFonts w:cs="Times New Roman"/>
          <w:szCs w:val="24"/>
        </w:rPr>
      </w:pPr>
    </w:p>
    <w:p w:rsidR="002C4F03" w:rsidRDefault="002C4F03" w:rsidP="00556BAE">
      <w:pPr>
        <w:jc w:val="both"/>
        <w:rPr>
          <w:rFonts w:cs="Times New Roman"/>
          <w:szCs w:val="24"/>
        </w:rPr>
      </w:pPr>
      <w:r w:rsidRPr="00233E50">
        <w:rPr>
          <w:rFonts w:cs="Times New Roman"/>
          <w:szCs w:val="24"/>
        </w:rPr>
        <w:t xml:space="preserve">Elementy konstrukcji pojazdu takie jak kłonice mogą służyć także do mocowania ładunków. Mogą być przyspawane do konstrukcji nośnej pojazdu, jednak najczęściej mocuje się je </w:t>
      </w:r>
      <w:r>
        <w:rPr>
          <w:rFonts w:cs="Times New Roman"/>
          <w:szCs w:val="24"/>
        </w:rPr>
        <w:br/>
      </w:r>
      <w:r w:rsidRPr="00233E50">
        <w:rPr>
          <w:rFonts w:cs="Times New Roman"/>
          <w:szCs w:val="24"/>
        </w:rPr>
        <w:t xml:space="preserve">w specjalnych otworach w nadwoziu. Kłonice stosuje się po obu stronach pojazdu w celu zabezpieczenia ładunków przed poprzecznym przemieszczeniem poprzez ich blokowanie. </w:t>
      </w:r>
      <w:r>
        <w:rPr>
          <w:rFonts w:cs="Times New Roman"/>
          <w:szCs w:val="24"/>
        </w:rPr>
        <w:br/>
      </w:r>
      <w:r w:rsidRPr="00233E50">
        <w:rPr>
          <w:rFonts w:cs="Times New Roman"/>
          <w:szCs w:val="24"/>
        </w:rPr>
        <w:t xml:space="preserve">W tym zakresie doskonale sprawdza się montowanie kilku żerdzi usytuowanych w jednej linii w osi podłużnej powierzchni ładunkowej. </w:t>
      </w:r>
    </w:p>
    <w:p w:rsidR="002C4F03" w:rsidRPr="00556BAE" w:rsidRDefault="002C4F03" w:rsidP="00556BAE">
      <w:pPr>
        <w:spacing w:before="100" w:beforeAutospacing="1" w:after="100" w:afterAutospacing="1"/>
        <w:jc w:val="both"/>
        <w:outlineLvl w:val="1"/>
        <w:rPr>
          <w:rFonts w:cs="Times New Roman"/>
          <w:szCs w:val="24"/>
        </w:rPr>
      </w:pPr>
      <w:r w:rsidRPr="00556BAE">
        <w:rPr>
          <w:rFonts w:cs="Times New Roman"/>
          <w:szCs w:val="24"/>
        </w:rPr>
        <w:t xml:space="preserve">Pojazd przeznaczony do przewozu ładunków o płaskiej konstrukcji powierzchni </w:t>
      </w:r>
      <w:r w:rsidRPr="00556BAE">
        <w:rPr>
          <w:rFonts w:cs="Times New Roman"/>
          <w:szCs w:val="24"/>
        </w:rPr>
        <w:lastRenderedPageBreak/>
        <w:t xml:space="preserve">załadunkowej powinien być wyposażony w punkty mocowania ładunku spełniające wymagania normy PN-EN-12640 „Mocowanie ładunku na pojazdach drogowych – Punkty mocowania na pojazdach używanych do przewozu towarów – Minimalne wymagania </w:t>
      </w:r>
      <w:r w:rsidRPr="00556BAE">
        <w:rPr>
          <w:rFonts w:cs="Times New Roman"/>
          <w:szCs w:val="24"/>
        </w:rPr>
        <w:br/>
        <w:t xml:space="preserve">i badania”. W niniejszej normie </w:t>
      </w:r>
      <w:r>
        <w:rPr>
          <w:rFonts w:cs="Times New Roman"/>
          <w:szCs w:val="24"/>
        </w:rPr>
        <w:t>u</w:t>
      </w:r>
      <w:r w:rsidRPr="00556BAE">
        <w:rPr>
          <w:rFonts w:cs="Times New Roman"/>
          <w:szCs w:val="24"/>
        </w:rPr>
        <w:t>stalono minimalne wymagania i metody badań punktów mocowania zainstalowanych na pojazdach i przyczepach ogólnego użytku, o płaskiej konstrukcji podłogi i o maksymalnej masie całkowitej większej niż 3,5 t</w:t>
      </w:r>
      <w:r>
        <w:rPr>
          <w:rFonts w:cs="Times New Roman"/>
          <w:szCs w:val="24"/>
        </w:rPr>
        <w:t>.</w:t>
      </w:r>
    </w:p>
    <w:p w:rsidR="002C4F03" w:rsidRPr="00233E50" w:rsidRDefault="002C4F03" w:rsidP="000D1BD3">
      <w:pPr>
        <w:jc w:val="both"/>
        <w:rPr>
          <w:rFonts w:cs="Times New Roman"/>
          <w:szCs w:val="24"/>
        </w:rPr>
      </w:pPr>
      <w:r w:rsidRPr="00233E50">
        <w:rPr>
          <w:rFonts w:cs="Times New Roman"/>
          <w:szCs w:val="24"/>
        </w:rPr>
        <w:t xml:space="preserve">Spośród urządzeń służących do mocowania ładunku na pojeździe najczęściej stosowane są pasy mocujące z włókien syntetycznych oraz łańcuchy. Łańcuchy są odpowiednie do łączenia punktu mocowania na ładunku z punktem mocowania na pojeździe, ponieważ łańcuch nie styka się z żadnymi innymi częściami. W przypadku szczególnych rodzajów ładunku zalecane jest stosowanie stalowych lin mocujących. Urządzenia służące do mocowania ładunku należy wykorzystywać zgodnie ze specyfikacją podaną przez producenta. </w:t>
      </w:r>
    </w:p>
    <w:p w:rsidR="002C4F03" w:rsidRPr="00233E50" w:rsidRDefault="002C4F03" w:rsidP="000D1BD3">
      <w:pPr>
        <w:jc w:val="both"/>
        <w:rPr>
          <w:rFonts w:cs="Times New Roman"/>
          <w:szCs w:val="24"/>
        </w:rPr>
      </w:pPr>
      <w:r w:rsidRPr="00233E50">
        <w:rPr>
          <w:rFonts w:cs="Times New Roman"/>
          <w:szCs w:val="24"/>
        </w:rPr>
        <w:t xml:space="preserve">Do urządzeń służących do mocowania ładunku będą miały zastosowanie następujące normy: </w:t>
      </w:r>
    </w:p>
    <w:p w:rsidR="002C4F03" w:rsidRPr="00233E50" w:rsidRDefault="002C4F03" w:rsidP="002C4F03">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233E50">
        <w:rPr>
          <w:rFonts w:ascii="Times New Roman" w:hAnsi="Times New Roman" w:cs="Times New Roman"/>
          <w:sz w:val="24"/>
          <w:szCs w:val="24"/>
        </w:rPr>
        <w:t xml:space="preserve">norma PN-EN 12195-2 „Mocowanie ładunków - Bezpieczeństwo - Część 2: Pasy mocujące ładunki” zawiera charakterystykę pasów mocujących z włókien syntetycznych, określa wymagania dotyczące bezpieczeństwa, wykaz zagrożeń, opis badań i sposób znakowania; </w:t>
      </w:r>
    </w:p>
    <w:p w:rsidR="002C4F03" w:rsidRPr="00233E50" w:rsidRDefault="002C4F03" w:rsidP="002C4F03">
      <w:pPr>
        <w:pStyle w:val="Akapitzlist"/>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norma PN-EN 12195-3</w:t>
      </w:r>
      <w:r w:rsidRPr="00233E50">
        <w:rPr>
          <w:rFonts w:ascii="Times New Roman" w:hAnsi="Times New Roman" w:cs="Times New Roman"/>
          <w:sz w:val="24"/>
          <w:szCs w:val="24"/>
        </w:rPr>
        <w:t xml:space="preserve"> „Mocowanie ładunków - Bezpieczeństwo - Część 3: Odciągi łańcuchowe” zawiera charakterystykę łańcuchów, które można stosować do mocowania ładunku, określa wymagania dotyczące bezpieczeństwa, wykaz zagrożeń, opis badań i sposób znakowania; </w:t>
      </w:r>
    </w:p>
    <w:p w:rsidR="002C4F03" w:rsidRPr="00233E50" w:rsidRDefault="002C4F03" w:rsidP="002C4F03">
      <w:pPr>
        <w:pStyle w:val="Akapitzlist"/>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w:t>
      </w:r>
      <w:r w:rsidRPr="00233E50">
        <w:rPr>
          <w:rFonts w:ascii="Times New Roman" w:hAnsi="Times New Roman" w:cs="Times New Roman"/>
          <w:sz w:val="24"/>
          <w:szCs w:val="24"/>
        </w:rPr>
        <w:t>orma PN-EN 12195-4 „Elementy mocujące ładunki na pojazdac</w:t>
      </w:r>
      <w:r>
        <w:rPr>
          <w:rFonts w:ascii="Times New Roman" w:hAnsi="Times New Roman" w:cs="Times New Roman"/>
          <w:sz w:val="24"/>
          <w:szCs w:val="24"/>
        </w:rPr>
        <w:t>h drogowych - Bezpieczeństwo -</w:t>
      </w:r>
      <w:r w:rsidRPr="00233E50">
        <w:rPr>
          <w:rFonts w:ascii="Times New Roman" w:hAnsi="Times New Roman" w:cs="Times New Roman"/>
          <w:sz w:val="24"/>
          <w:szCs w:val="24"/>
        </w:rPr>
        <w:t xml:space="preserve"> Część 4: Liny stalowe mocujące” zawiera charakterystykę stalowych lin, które można stosować do mocowania. W niniejszej normie zostały zawarte wymagania bezpieczeństwa dotyczące lin stalowych mocujących, płaskich lin stalowych mocujących lub połączenia obu rodzajów dla bezpiecznego transportu powierzchniowego ładunków na pojazdach i przyczepach drogowych, umieszczonych na jednostkach pływających, wagonach kolejowych lub będących ich kombinacją. Podano procedury dotyczące badań lin stalowych mocujących oraz płaskich lin stalowych mocujących.</w:t>
      </w:r>
    </w:p>
    <w:p w:rsidR="002C4F03" w:rsidRDefault="002C4F03" w:rsidP="00DD44DC">
      <w:pPr>
        <w:spacing w:before="100" w:beforeAutospacing="1" w:after="100" w:afterAutospacing="1"/>
        <w:jc w:val="both"/>
        <w:outlineLvl w:val="0"/>
        <w:rPr>
          <w:rFonts w:cs="Times New Roman"/>
          <w:szCs w:val="24"/>
        </w:rPr>
      </w:pPr>
      <w:r w:rsidRPr="00233E50">
        <w:rPr>
          <w:rFonts w:cs="Times New Roman"/>
          <w:szCs w:val="24"/>
        </w:rPr>
        <w:t xml:space="preserve">Doprecyzowanie sposobu mocowania przewożonego ładunku jest kluczowym wymaganiem, które zapewni stosowny poziom bezpieczeństwa, przy założeniu poprawnego stanu technicznego pojazdu oraz przestrzeganiu przepisów ruchu drogowego. Podstawową zasadą dotyczącą mocowania ładunku jest unikanie przemieszczania się ładunku wynikającego </w:t>
      </w:r>
      <w:r>
        <w:rPr>
          <w:rFonts w:cs="Times New Roman"/>
          <w:szCs w:val="24"/>
        </w:rPr>
        <w:br/>
      </w:r>
      <w:r w:rsidRPr="00233E50">
        <w:rPr>
          <w:rFonts w:cs="Times New Roman"/>
          <w:szCs w:val="24"/>
        </w:rPr>
        <w:t xml:space="preserve">z przyspieszenia </w:t>
      </w:r>
      <w:r>
        <w:rPr>
          <w:rFonts w:cs="Times New Roman"/>
          <w:szCs w:val="24"/>
        </w:rPr>
        <w:t xml:space="preserve">bądź zmniejszenia prędkości </w:t>
      </w:r>
      <w:r w:rsidRPr="00233E50">
        <w:rPr>
          <w:rFonts w:cs="Times New Roman"/>
          <w:szCs w:val="24"/>
        </w:rPr>
        <w:t xml:space="preserve">pojazdu dlatego też projektodawca wskazał, aby mocowanie ładunku było sprawdzane podczas jazdy. Do zabezpieczenia ładunku można </w:t>
      </w:r>
      <w:r w:rsidRPr="00233E50">
        <w:rPr>
          <w:rFonts w:cs="Times New Roman"/>
          <w:szCs w:val="24"/>
        </w:rPr>
        <w:lastRenderedPageBreak/>
        <w:t>wykorzystać oddzielnie lub łącznie następujące metody mocowania takie jak: ryglowanie, blokowanie</w:t>
      </w:r>
      <w:r>
        <w:rPr>
          <w:rFonts w:cs="Times New Roman"/>
          <w:szCs w:val="24"/>
        </w:rPr>
        <w:t xml:space="preserve"> miejscowe albo ogólne</w:t>
      </w:r>
      <w:r w:rsidRPr="00233E50">
        <w:rPr>
          <w:rFonts w:cs="Times New Roman"/>
          <w:szCs w:val="24"/>
        </w:rPr>
        <w:t xml:space="preserve">, mocowanie za pomocą odciągów prostych i mocowanie </w:t>
      </w:r>
      <w:r>
        <w:rPr>
          <w:rFonts w:cs="Times New Roman"/>
          <w:szCs w:val="24"/>
        </w:rPr>
        <w:br/>
      </w:r>
      <w:r w:rsidRPr="00233E50">
        <w:rPr>
          <w:rFonts w:cs="Times New Roman"/>
          <w:szCs w:val="24"/>
        </w:rPr>
        <w:t>z opasaniem od góry.</w:t>
      </w:r>
      <w:r>
        <w:rPr>
          <w:rFonts w:cs="Times New Roman"/>
          <w:szCs w:val="24"/>
        </w:rPr>
        <w:t xml:space="preserve"> </w:t>
      </w:r>
      <w:r w:rsidRPr="000D1BD3">
        <w:rPr>
          <w:rFonts w:cs="Times New Roman"/>
          <w:szCs w:val="24"/>
        </w:rPr>
        <w:t>Działania te mają na celu ochronę osób zajmujących się załadunkiem, wyładunkiem i prowadzeniem pojazdu oraz innych uczestników ruchu drogowego</w:t>
      </w:r>
      <w:r>
        <w:rPr>
          <w:rFonts w:cs="Times New Roman"/>
          <w:szCs w:val="24"/>
        </w:rPr>
        <w:t>. Zastosowane metody mocowania powinny spełniać wymagania określone w normie</w:t>
      </w:r>
      <w:r w:rsidRPr="00DD44DC">
        <w:rPr>
          <w:rFonts w:cs="Times New Roman"/>
          <w:szCs w:val="24"/>
        </w:rPr>
        <w:t xml:space="preserve"> PN-EN</w:t>
      </w:r>
      <w:r>
        <w:rPr>
          <w:rFonts w:cs="Times New Roman"/>
          <w:szCs w:val="24"/>
        </w:rPr>
        <w:t xml:space="preserve"> 12195-1 „</w:t>
      </w:r>
      <w:r w:rsidRPr="00DD44DC">
        <w:rPr>
          <w:rFonts w:cs="Times New Roman"/>
          <w:szCs w:val="24"/>
        </w:rPr>
        <w:t>Zestawy do utwierdzania ła</w:t>
      </w:r>
      <w:r>
        <w:rPr>
          <w:rFonts w:cs="Times New Roman"/>
          <w:szCs w:val="24"/>
        </w:rPr>
        <w:t>dunków na pojazdach drogowych - Bezpieczeństwo -</w:t>
      </w:r>
      <w:r w:rsidRPr="00DD44DC">
        <w:rPr>
          <w:rFonts w:cs="Times New Roman"/>
          <w:szCs w:val="24"/>
        </w:rPr>
        <w:t xml:space="preserve"> Część 1: Obliczanie sił mocowania</w:t>
      </w:r>
      <w:r>
        <w:rPr>
          <w:rFonts w:cs="Times New Roman"/>
          <w:szCs w:val="24"/>
        </w:rPr>
        <w:t xml:space="preserve">”. W normie tej zostały zawarte </w:t>
      </w:r>
      <w:r w:rsidRPr="00DD44DC">
        <w:rPr>
          <w:rFonts w:cs="Times New Roman"/>
          <w:szCs w:val="24"/>
        </w:rPr>
        <w:t>metody bezpiecznego (blokowania, mocowania lub ich kombinacji) zabezpieczenia ładunków w transporcie drogowym</w:t>
      </w:r>
      <w:r>
        <w:rPr>
          <w:rFonts w:cs="Times New Roman"/>
          <w:szCs w:val="24"/>
        </w:rPr>
        <w:t>.</w:t>
      </w:r>
    </w:p>
    <w:p w:rsidR="002C4F03" w:rsidRPr="00233E50" w:rsidRDefault="002C4F03" w:rsidP="00DD44DC">
      <w:pPr>
        <w:jc w:val="both"/>
        <w:rPr>
          <w:rFonts w:cs="Times New Roman"/>
          <w:szCs w:val="24"/>
        </w:rPr>
      </w:pPr>
      <w:r>
        <w:rPr>
          <w:rFonts w:cs="Times New Roman"/>
          <w:szCs w:val="24"/>
        </w:rPr>
        <w:t xml:space="preserve">Przy załadunku na pojazd należy zapewnić </w:t>
      </w:r>
      <w:r w:rsidRPr="000D1BD3">
        <w:rPr>
          <w:rFonts w:cs="Times New Roman"/>
          <w:szCs w:val="24"/>
        </w:rPr>
        <w:t>odpowiednie wykorzystanie niezbędnego dodatkowego wyposażenia,  w szczególności mat antypoślizgow</w:t>
      </w:r>
      <w:r>
        <w:rPr>
          <w:rFonts w:cs="Times New Roman"/>
          <w:szCs w:val="24"/>
        </w:rPr>
        <w:t>ych</w:t>
      </w:r>
      <w:r w:rsidRPr="000D1BD3">
        <w:rPr>
          <w:rFonts w:cs="Times New Roman"/>
          <w:szCs w:val="24"/>
        </w:rPr>
        <w:t xml:space="preserve"> i nakład</w:t>
      </w:r>
      <w:r>
        <w:rPr>
          <w:rFonts w:cs="Times New Roman"/>
          <w:szCs w:val="24"/>
        </w:rPr>
        <w:t>e</w:t>
      </w:r>
      <w:r w:rsidRPr="000D1BD3">
        <w:rPr>
          <w:rFonts w:cs="Times New Roman"/>
          <w:szCs w:val="24"/>
        </w:rPr>
        <w:t>k</w:t>
      </w:r>
      <w:r>
        <w:rPr>
          <w:rFonts w:cs="Times New Roman"/>
          <w:szCs w:val="24"/>
        </w:rPr>
        <w:t>.</w:t>
      </w:r>
    </w:p>
    <w:p w:rsidR="002C4F03" w:rsidRPr="00233E50" w:rsidRDefault="002C4F03" w:rsidP="00DD44DC">
      <w:pPr>
        <w:jc w:val="both"/>
        <w:rPr>
          <w:rFonts w:cs="Times New Roman"/>
          <w:szCs w:val="24"/>
        </w:rPr>
      </w:pPr>
    </w:p>
    <w:p w:rsidR="002C4F03" w:rsidRPr="00233E50" w:rsidRDefault="002C4F03" w:rsidP="00DD44DC">
      <w:pPr>
        <w:jc w:val="both"/>
        <w:rPr>
          <w:rFonts w:cs="Times New Roman"/>
          <w:szCs w:val="24"/>
        </w:rPr>
      </w:pPr>
      <w:r w:rsidRPr="00233E50">
        <w:rPr>
          <w:rFonts w:cs="Times New Roman"/>
          <w:szCs w:val="24"/>
        </w:rPr>
        <w:t xml:space="preserve">W rezultacie projekt wprowadza także </w:t>
      </w:r>
      <w:r>
        <w:rPr>
          <w:rFonts w:cs="Times New Roman"/>
          <w:szCs w:val="24"/>
        </w:rPr>
        <w:t>regulacje odnoszące się do opakowań ładunku używanych w trakcie przewozu</w:t>
      </w:r>
      <w:r w:rsidRPr="00233E50">
        <w:rPr>
          <w:rFonts w:cs="Times New Roman"/>
          <w:szCs w:val="24"/>
        </w:rPr>
        <w:t>, które w zależności od rodzaju ładunku mogą ochronić ładunek przed warunkami atmosferycznymi, uszkodzeniem albo umożliwią jego skuteczne zamocowanie.</w:t>
      </w:r>
      <w:r>
        <w:rPr>
          <w:rFonts w:cs="Times New Roman"/>
          <w:szCs w:val="24"/>
        </w:rPr>
        <w:t xml:space="preserve"> </w:t>
      </w:r>
      <w:r w:rsidRPr="00233E50">
        <w:rPr>
          <w:rFonts w:cs="Times New Roman"/>
          <w:szCs w:val="24"/>
        </w:rPr>
        <w:t>Opakowanie</w:t>
      </w:r>
      <w:r>
        <w:rPr>
          <w:rFonts w:cs="Times New Roman"/>
          <w:szCs w:val="24"/>
        </w:rPr>
        <w:t xml:space="preserve"> ładunku</w:t>
      </w:r>
      <w:r w:rsidRPr="00233E50">
        <w:rPr>
          <w:rFonts w:cs="Times New Roman"/>
          <w:szCs w:val="24"/>
        </w:rPr>
        <w:t xml:space="preserve"> powinno być</w:t>
      </w:r>
      <w:r>
        <w:rPr>
          <w:rFonts w:cs="Times New Roman"/>
          <w:szCs w:val="24"/>
        </w:rPr>
        <w:t xml:space="preserve"> także</w:t>
      </w:r>
      <w:r w:rsidRPr="00233E50">
        <w:rPr>
          <w:rFonts w:cs="Times New Roman"/>
          <w:szCs w:val="24"/>
        </w:rPr>
        <w:t xml:space="preserve"> wytrzymałe w odniesieniu do sił działających na </w:t>
      </w:r>
      <w:r>
        <w:rPr>
          <w:rFonts w:cs="Times New Roman"/>
          <w:szCs w:val="24"/>
        </w:rPr>
        <w:t xml:space="preserve">ten </w:t>
      </w:r>
      <w:r w:rsidRPr="00233E50">
        <w:rPr>
          <w:rFonts w:cs="Times New Roman"/>
          <w:szCs w:val="24"/>
        </w:rPr>
        <w:t xml:space="preserve">ładunek. </w:t>
      </w:r>
      <w:r>
        <w:rPr>
          <w:rFonts w:cs="Times New Roman"/>
          <w:szCs w:val="24"/>
        </w:rPr>
        <w:t xml:space="preserve">W konsekwencji, zaproponowane w projekcie rozwiązania odnoszące się do opakowań ładunku używanych w trakcie przewozu, </w:t>
      </w:r>
      <w:r w:rsidRPr="00233E50">
        <w:rPr>
          <w:rFonts w:cs="Times New Roman"/>
          <w:szCs w:val="24"/>
        </w:rPr>
        <w:t xml:space="preserve">przyczynią się do zapewnienia </w:t>
      </w:r>
      <w:r>
        <w:rPr>
          <w:rFonts w:cs="Times New Roman"/>
          <w:szCs w:val="24"/>
        </w:rPr>
        <w:t>bezpieczeństwa</w:t>
      </w:r>
      <w:r w:rsidRPr="00233E50">
        <w:rPr>
          <w:rFonts w:cs="Times New Roman"/>
          <w:szCs w:val="24"/>
        </w:rPr>
        <w:t xml:space="preserve"> w ruchu drogowym. </w:t>
      </w:r>
    </w:p>
    <w:p w:rsidR="002C4F03" w:rsidRPr="00233E50" w:rsidRDefault="002C4F03" w:rsidP="00DD44DC">
      <w:pPr>
        <w:jc w:val="both"/>
        <w:rPr>
          <w:rFonts w:cs="Times New Roman"/>
          <w:szCs w:val="24"/>
        </w:rPr>
      </w:pPr>
    </w:p>
    <w:p w:rsidR="002C4F03" w:rsidRPr="00233E50" w:rsidRDefault="002C4F03" w:rsidP="00DD44DC">
      <w:pPr>
        <w:jc w:val="both"/>
        <w:rPr>
          <w:rFonts w:cs="Times New Roman"/>
          <w:szCs w:val="24"/>
        </w:rPr>
      </w:pPr>
      <w:r w:rsidRPr="00233E50">
        <w:rPr>
          <w:rFonts w:cs="Times New Roman"/>
          <w:szCs w:val="24"/>
        </w:rPr>
        <w:t xml:space="preserve">Projekt rozporządzenia wchodzi w życie po upływie 14 dni od dnia ogłoszenia. </w:t>
      </w:r>
    </w:p>
    <w:p w:rsidR="002C4F03" w:rsidRPr="00233E50" w:rsidRDefault="002C4F03" w:rsidP="00DD44DC">
      <w:pPr>
        <w:jc w:val="both"/>
        <w:rPr>
          <w:rFonts w:cs="Times New Roman"/>
          <w:szCs w:val="24"/>
        </w:rPr>
      </w:pPr>
    </w:p>
    <w:p w:rsidR="002C4F03" w:rsidRPr="00233E50" w:rsidRDefault="002C4F03" w:rsidP="00DD44DC">
      <w:pPr>
        <w:jc w:val="both"/>
        <w:rPr>
          <w:rFonts w:cs="Times New Roman"/>
          <w:szCs w:val="24"/>
        </w:rPr>
      </w:pPr>
      <w:r w:rsidRPr="00233E50">
        <w:rPr>
          <w:rFonts w:cs="Times New Roman"/>
          <w:szCs w:val="24"/>
        </w:rPr>
        <w:t xml:space="preserve">Projekt rozporządzenia nie podlega notyfikacji w trybie określonym w </w:t>
      </w:r>
      <w:r w:rsidRPr="00EA16E6">
        <w:rPr>
          <w:rFonts w:cs="Times New Roman"/>
          <w:i/>
          <w:szCs w:val="24"/>
        </w:rPr>
        <w:t>rozporządzeniu Rady Ministrów z dnia 23 grudnia 2002 r. w sprawie sposobu funkcjonowania krajowego systemu notyfikacji norm i aktów prawnych</w:t>
      </w:r>
      <w:r w:rsidRPr="00233E50">
        <w:rPr>
          <w:rFonts w:cs="Times New Roman"/>
          <w:szCs w:val="24"/>
        </w:rPr>
        <w:t xml:space="preserve"> (Dz. U.  poz. 2039, z </w:t>
      </w:r>
      <w:proofErr w:type="spellStart"/>
      <w:r w:rsidRPr="00233E50">
        <w:rPr>
          <w:rFonts w:cs="Times New Roman"/>
          <w:szCs w:val="24"/>
        </w:rPr>
        <w:t>późn</w:t>
      </w:r>
      <w:proofErr w:type="spellEnd"/>
      <w:r w:rsidRPr="00233E50">
        <w:rPr>
          <w:rFonts w:cs="Times New Roman"/>
          <w:szCs w:val="24"/>
        </w:rPr>
        <w:t xml:space="preserve">. zm.). </w:t>
      </w:r>
    </w:p>
    <w:p w:rsidR="002C4F03" w:rsidRPr="00233E50" w:rsidRDefault="002C4F03" w:rsidP="000D1BD3">
      <w:pPr>
        <w:jc w:val="both"/>
        <w:rPr>
          <w:rFonts w:cs="Times New Roman"/>
          <w:szCs w:val="24"/>
        </w:rPr>
      </w:pPr>
    </w:p>
    <w:p w:rsidR="002C4F03" w:rsidRPr="00233E50" w:rsidRDefault="002C4F03" w:rsidP="000D1BD3">
      <w:pPr>
        <w:jc w:val="both"/>
        <w:rPr>
          <w:rFonts w:cs="Times New Roman"/>
          <w:szCs w:val="24"/>
        </w:rPr>
      </w:pPr>
      <w:r w:rsidRPr="00233E50">
        <w:rPr>
          <w:rFonts w:cs="Times New Roman"/>
          <w:szCs w:val="24"/>
        </w:rPr>
        <w:t xml:space="preserve">Projekt aktu normatywnego nie wymaga przedstawienia właściwym organom i instytucjom Unii Europejskiej, w tym Europejskiemu Bankowi Centralnemu, stosownie do § 39 </w:t>
      </w:r>
      <w:r w:rsidRPr="00EA16E6">
        <w:rPr>
          <w:rFonts w:cs="Times New Roman"/>
          <w:i/>
          <w:szCs w:val="24"/>
        </w:rPr>
        <w:t>uchwały nr 190 Rady Ministrów z dnia 29 października 2013 r. – Regulaminu pracy Rady Ministrów</w:t>
      </w:r>
      <w:r w:rsidRPr="00233E50">
        <w:rPr>
          <w:rFonts w:cs="Times New Roman"/>
          <w:szCs w:val="24"/>
        </w:rPr>
        <w:t xml:space="preserve"> (M.P. z 2016 r. poz. 1006, z </w:t>
      </w:r>
      <w:proofErr w:type="spellStart"/>
      <w:r w:rsidRPr="00233E50">
        <w:rPr>
          <w:rFonts w:cs="Times New Roman"/>
          <w:szCs w:val="24"/>
        </w:rPr>
        <w:t>późn</w:t>
      </w:r>
      <w:proofErr w:type="spellEnd"/>
      <w:r w:rsidRPr="00233E50">
        <w:rPr>
          <w:rFonts w:cs="Times New Roman"/>
          <w:szCs w:val="24"/>
        </w:rPr>
        <w:t>. zm.).</w:t>
      </w:r>
    </w:p>
    <w:p w:rsidR="002C4F03" w:rsidRPr="00233E50" w:rsidRDefault="002C4F03" w:rsidP="000D1BD3">
      <w:pPr>
        <w:jc w:val="both"/>
        <w:rPr>
          <w:rFonts w:cs="Times New Roman"/>
          <w:szCs w:val="24"/>
        </w:rPr>
      </w:pPr>
      <w:r w:rsidRPr="00233E50">
        <w:rPr>
          <w:rFonts w:cs="Times New Roman"/>
          <w:szCs w:val="24"/>
        </w:rPr>
        <w:t xml:space="preserve">Zgodnie z art. 5 i 6 </w:t>
      </w:r>
      <w:r w:rsidRPr="00EA16E6">
        <w:rPr>
          <w:rFonts w:cs="Times New Roman"/>
          <w:i/>
          <w:szCs w:val="24"/>
        </w:rPr>
        <w:t>ustawy z dnia 7 lipca 2005 r. o działalności lobbingowej</w:t>
      </w:r>
      <w:r w:rsidRPr="00233E50">
        <w:rPr>
          <w:rFonts w:cs="Times New Roman"/>
          <w:szCs w:val="24"/>
        </w:rPr>
        <w:t xml:space="preserve"> w procesie stanowienia prawa (Dz. U. z 2017 r. poz. 248), projekt rozporządzenia z chwilą przekazania do uzgodnień z członkami Rady Ministrów został udostępniony </w:t>
      </w:r>
      <w:r w:rsidRPr="009129B7">
        <w:t xml:space="preserve">w Biuletynie Informacji </w:t>
      </w:r>
      <w:r w:rsidRPr="009129B7">
        <w:lastRenderedPageBreak/>
        <w:t>Publicznej</w:t>
      </w:r>
      <w:r w:rsidRPr="00233E50">
        <w:rPr>
          <w:rFonts w:cs="Times New Roman"/>
          <w:szCs w:val="24"/>
        </w:rPr>
        <w:t>. Ponadto, stosownie do postanowień § 52 uchwały nr 190 Rady Ministrów z dnia 29 października 2013 r.</w:t>
      </w:r>
      <w:r>
        <w:rPr>
          <w:rFonts w:cs="Times New Roman"/>
          <w:szCs w:val="24"/>
        </w:rPr>
        <w:t xml:space="preserve"> </w:t>
      </w:r>
      <w:r w:rsidRPr="00233E50">
        <w:rPr>
          <w:rFonts w:cs="Times New Roman"/>
          <w:szCs w:val="24"/>
        </w:rPr>
        <w:t xml:space="preserve">– Regulamin pracy Rady Ministrów, projekt rozporządzenia został zamieszczony w Biuletynie Informacji Publicznej na stronie podmiotowej Rządowego Centrum Legislacji w serwisie Rządowy Proces Legislacyjny. </w:t>
      </w:r>
    </w:p>
    <w:p w:rsidR="002C4F03" w:rsidRDefault="002C4F03" w:rsidP="000D1BD3">
      <w:pPr>
        <w:jc w:val="both"/>
      </w:pPr>
      <w:r w:rsidRPr="00233E50">
        <w:rPr>
          <w:rFonts w:cs="Times New Roman"/>
          <w:szCs w:val="24"/>
        </w:rPr>
        <w:t>Projektowane rozporządzenie jest zgodne z prawem Unii Europejskiej.</w:t>
      </w:r>
    </w:p>
    <w:p w:rsidR="002C4F03" w:rsidRDefault="002C4F03" w:rsidP="000D1BD3">
      <w:pPr>
        <w:jc w:val="both"/>
        <w:rPr>
          <w:rFonts w:cs="Times New Roman"/>
          <w:szCs w:val="24"/>
        </w:rPr>
        <w:sectPr w:rsidR="002C4F03" w:rsidSect="009E564A">
          <w:pgSz w:w="11906" w:h="16838"/>
          <w:pgMar w:top="1417" w:right="1417" w:bottom="1417" w:left="1417" w:header="708" w:footer="708" w:gutter="0"/>
          <w:cols w:space="708"/>
          <w:docGrid w:linePitch="360"/>
        </w:sect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2C4F03" w:rsidRPr="008B4FE6" w:rsidTr="00676C8D">
        <w:trPr>
          <w:gridAfter w:val="1"/>
          <w:wAfter w:w="10" w:type="dxa"/>
          <w:trHeight w:val="1611"/>
        </w:trPr>
        <w:tc>
          <w:tcPr>
            <w:tcW w:w="6631" w:type="dxa"/>
            <w:gridSpan w:val="17"/>
          </w:tcPr>
          <w:p w:rsidR="002C4F03" w:rsidRPr="008B4FE6" w:rsidRDefault="002C4F03" w:rsidP="00616511">
            <w:pPr>
              <w:spacing w:before="120" w:line="240" w:lineRule="auto"/>
              <w:ind w:hanging="45"/>
              <w:rPr>
                <w:color w:val="000000"/>
              </w:rPr>
            </w:pPr>
            <w:bookmarkStart w:id="2" w:name="t1"/>
            <w:r w:rsidRPr="008B4FE6">
              <w:rPr>
                <w:b/>
                <w:color w:val="000000"/>
              </w:rPr>
              <w:lastRenderedPageBreak/>
              <w:t xml:space="preserve">Nazwa </w:t>
            </w:r>
            <w:r>
              <w:rPr>
                <w:b/>
                <w:color w:val="000000"/>
              </w:rPr>
              <w:t>projektu</w:t>
            </w:r>
          </w:p>
          <w:p w:rsidR="002C4F03" w:rsidRPr="008F0BC9" w:rsidRDefault="002C4F03" w:rsidP="003D7BC6">
            <w:pPr>
              <w:spacing w:line="240" w:lineRule="auto"/>
              <w:ind w:hanging="45"/>
              <w:jc w:val="both"/>
            </w:pPr>
            <w:r>
              <w:t>Rozporządzenie</w:t>
            </w:r>
            <w:r w:rsidRPr="0021446D">
              <w:t xml:space="preserve"> Ministra Infrastruktury i </w:t>
            </w:r>
            <w:r>
              <w:t>Budownictwa</w:t>
            </w:r>
            <w:r w:rsidRPr="0021446D">
              <w:t xml:space="preserve"> </w:t>
            </w:r>
            <w:r>
              <w:t xml:space="preserve">w sprawie </w:t>
            </w:r>
            <w:r w:rsidRPr="008F0BC9">
              <w:t>sposobu przewozu ładunk</w:t>
            </w:r>
            <w:r>
              <w:t>u</w:t>
            </w:r>
            <w:r w:rsidRPr="008F0BC9">
              <w:t xml:space="preserve"> </w:t>
            </w:r>
          </w:p>
          <w:p w:rsidR="002C4F03" w:rsidRDefault="002C4F03" w:rsidP="00FA6BDF">
            <w:pPr>
              <w:spacing w:line="240" w:lineRule="auto"/>
              <w:ind w:hanging="45"/>
              <w:jc w:val="both"/>
              <w:rPr>
                <w:iCs/>
              </w:rPr>
            </w:pPr>
          </w:p>
          <w:p w:rsidR="002C4F03" w:rsidRPr="008B4FE6" w:rsidRDefault="002C4F03" w:rsidP="00616511">
            <w:pPr>
              <w:spacing w:before="120" w:line="240" w:lineRule="auto"/>
              <w:ind w:hanging="45"/>
              <w:rPr>
                <w:b/>
                <w:color w:val="000000"/>
              </w:rPr>
            </w:pPr>
            <w:r w:rsidRPr="008B4FE6">
              <w:rPr>
                <w:b/>
                <w:color w:val="000000"/>
              </w:rPr>
              <w:t>Ministerstwo wiodące i ministerstwa współpracujące</w:t>
            </w:r>
          </w:p>
          <w:bookmarkEnd w:id="2"/>
          <w:p w:rsidR="002C4F03" w:rsidRDefault="002C4F03" w:rsidP="003D7BC6">
            <w:pPr>
              <w:spacing w:line="240" w:lineRule="auto"/>
              <w:rPr>
                <w:color w:val="000000"/>
              </w:rPr>
            </w:pPr>
            <w:r>
              <w:rPr>
                <w:color w:val="000000"/>
              </w:rPr>
              <w:t xml:space="preserve">Ministerstwo Infrastruktury i Budownictwa </w:t>
            </w:r>
          </w:p>
          <w:p w:rsidR="002C4F03" w:rsidRPr="00361B66" w:rsidRDefault="002C4F03" w:rsidP="00361B66">
            <w:pPr>
              <w:spacing w:before="240" w:line="240" w:lineRule="auto"/>
              <w:rPr>
                <w:b/>
              </w:rPr>
            </w:pPr>
            <w:r w:rsidRPr="00361B66">
              <w:rPr>
                <w:b/>
              </w:rPr>
              <w:t xml:space="preserve">Osoba odpowiedzialna za projekt w randze Ministra, Sekretarza Stanu lub Podsekretarza Stanu </w:t>
            </w:r>
          </w:p>
          <w:p w:rsidR="002C4F03" w:rsidRDefault="002C4F03" w:rsidP="001B3460">
            <w:pPr>
              <w:spacing w:line="240" w:lineRule="auto"/>
            </w:pPr>
            <w:r w:rsidRPr="00361B66">
              <w:t xml:space="preserve">Jerzy Szmit, Podsekretarz Stanu w Ministerstwie Infrastruktury </w:t>
            </w:r>
          </w:p>
          <w:p w:rsidR="002C4F03" w:rsidRPr="00361B66" w:rsidRDefault="002C4F03" w:rsidP="001B3460">
            <w:pPr>
              <w:spacing w:line="240" w:lineRule="auto"/>
            </w:pPr>
            <w:r w:rsidRPr="00361B66">
              <w:t>i Budownictwa</w:t>
            </w:r>
          </w:p>
          <w:p w:rsidR="002C4F03" w:rsidRPr="008B4FE6" w:rsidRDefault="002C4F03" w:rsidP="00616511">
            <w:pPr>
              <w:spacing w:before="120" w:line="240" w:lineRule="auto"/>
              <w:ind w:hanging="45"/>
              <w:rPr>
                <w:b/>
                <w:color w:val="000000"/>
              </w:rPr>
            </w:pPr>
            <w:r w:rsidRPr="008B4FE6">
              <w:rPr>
                <w:b/>
                <w:color w:val="000000"/>
              </w:rPr>
              <w:t>Kontakt do opiekuna merytorycznego projektu</w:t>
            </w:r>
          </w:p>
          <w:p w:rsidR="002C4F03" w:rsidRDefault="002C4F03" w:rsidP="00A17CB2">
            <w:pPr>
              <w:spacing w:line="240" w:lineRule="auto"/>
              <w:ind w:hanging="34"/>
              <w:rPr>
                <w:color w:val="000000"/>
              </w:rPr>
            </w:pPr>
            <w:r>
              <w:rPr>
                <w:color w:val="000000"/>
              </w:rPr>
              <w:t xml:space="preserve">Anna </w:t>
            </w:r>
            <w:proofErr w:type="spellStart"/>
            <w:r>
              <w:rPr>
                <w:color w:val="000000"/>
              </w:rPr>
              <w:t>Szwarczewska</w:t>
            </w:r>
            <w:proofErr w:type="spellEnd"/>
            <w:r>
              <w:rPr>
                <w:color w:val="000000"/>
              </w:rPr>
              <w:t>, referendar</w:t>
            </w:r>
            <w:r w:rsidRPr="0023499F">
              <w:rPr>
                <w:color w:val="000000"/>
              </w:rPr>
              <w:t xml:space="preserve">z, </w:t>
            </w:r>
            <w:hyperlink r:id="rId11" w:history="1">
              <w:r w:rsidRPr="0023499F">
                <w:rPr>
                  <w:rStyle w:val="Hipercze"/>
                </w:rPr>
                <w:t>Anna.Szwarczewska@mib.gov.pl</w:t>
              </w:r>
            </w:hyperlink>
          </w:p>
          <w:p w:rsidR="002C4F03" w:rsidRPr="008B4FE6" w:rsidRDefault="002C4F03" w:rsidP="00A17CB2">
            <w:pPr>
              <w:spacing w:line="240" w:lineRule="auto"/>
              <w:ind w:hanging="34"/>
              <w:rPr>
                <w:color w:val="000000"/>
              </w:rPr>
            </w:pPr>
            <w:r>
              <w:rPr>
                <w:color w:val="000000"/>
              </w:rPr>
              <w:t>Departament Transportu Drogowego w MIB, tel. (22) 630 16 47.</w:t>
            </w:r>
          </w:p>
        </w:tc>
        <w:tc>
          <w:tcPr>
            <w:tcW w:w="4306" w:type="dxa"/>
            <w:gridSpan w:val="12"/>
            <w:shd w:val="clear" w:color="auto" w:fill="FFFFFF"/>
          </w:tcPr>
          <w:p w:rsidR="002C4F03" w:rsidRPr="00642825" w:rsidRDefault="002C4F03" w:rsidP="001B3460">
            <w:pPr>
              <w:spacing w:line="240" w:lineRule="auto"/>
              <w:rPr>
                <w:b/>
                <w:sz w:val="21"/>
                <w:szCs w:val="21"/>
              </w:rPr>
            </w:pPr>
            <w:r w:rsidRPr="00642825">
              <w:rPr>
                <w:b/>
                <w:sz w:val="21"/>
                <w:szCs w:val="21"/>
              </w:rPr>
              <w:t>Data sporządzenia</w:t>
            </w:r>
            <w:r w:rsidRPr="00642825">
              <w:rPr>
                <w:b/>
                <w:sz w:val="21"/>
                <w:szCs w:val="21"/>
              </w:rPr>
              <w:br/>
            </w:r>
            <w:r>
              <w:rPr>
                <w:b/>
                <w:sz w:val="21"/>
                <w:szCs w:val="21"/>
              </w:rPr>
              <w:t>11.04.2017 r.</w:t>
            </w:r>
          </w:p>
          <w:p w:rsidR="002C4F03" w:rsidRDefault="002C4F03" w:rsidP="00F76884">
            <w:pPr>
              <w:spacing w:line="240" w:lineRule="auto"/>
              <w:rPr>
                <w:b/>
              </w:rPr>
            </w:pPr>
          </w:p>
          <w:p w:rsidR="002C4F03" w:rsidRPr="0065019F" w:rsidRDefault="002C4F03" w:rsidP="00F76884">
            <w:pPr>
              <w:spacing w:line="240" w:lineRule="auto"/>
              <w:rPr>
                <w:b/>
              </w:rPr>
            </w:pPr>
            <w:r w:rsidRPr="0065019F">
              <w:rPr>
                <w:b/>
              </w:rPr>
              <w:t xml:space="preserve">Źródło: </w:t>
            </w:r>
            <w:bookmarkStart w:id="3" w:name="Lista1"/>
          </w:p>
          <w:bookmarkEnd w:id="3" w:displacedByCustomXml="next"/>
          <w:sdt>
            <w:sdtPr>
              <w:id w:val="-1451614635"/>
              <w:placeholder>
                <w:docPart w:val="A41E7BB570054996A6CB078D011A9848"/>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rsidR="002C4F03" w:rsidRPr="00EF290C" w:rsidRDefault="002C4F03" w:rsidP="00F76884">
                <w:pPr>
                  <w:spacing w:line="240" w:lineRule="auto"/>
                </w:pPr>
                <w:r>
                  <w:t>Upoważnienie ustawowe</w:t>
                </w:r>
              </w:p>
            </w:sdtContent>
          </w:sdt>
          <w:p w:rsidR="002C4F03" w:rsidRPr="00EF5ECC" w:rsidRDefault="002C4F03" w:rsidP="00C93841">
            <w:pPr>
              <w:spacing w:line="240" w:lineRule="auto"/>
              <w:jc w:val="both"/>
              <w:rPr>
                <w:color w:val="000000"/>
              </w:rPr>
            </w:pPr>
          </w:p>
          <w:p w:rsidR="002C4F03" w:rsidRPr="0065019F" w:rsidRDefault="002C4F03" w:rsidP="00F76884">
            <w:pPr>
              <w:spacing w:line="240" w:lineRule="auto"/>
            </w:pPr>
          </w:p>
          <w:p w:rsidR="002C4F03" w:rsidRDefault="002C4F03" w:rsidP="00115506">
            <w:pPr>
              <w:spacing w:line="240" w:lineRule="auto"/>
              <w:rPr>
                <w:b/>
                <w:color w:val="000000"/>
              </w:rPr>
            </w:pPr>
            <w:r w:rsidRPr="0021446D">
              <w:rPr>
                <w:b/>
                <w:color w:val="000000"/>
              </w:rPr>
              <w:t xml:space="preserve">Nr w wykazie prac legislacyjnych Ministra Infrastruktury i </w:t>
            </w:r>
            <w:r>
              <w:rPr>
                <w:b/>
                <w:color w:val="000000"/>
              </w:rPr>
              <w:t xml:space="preserve">Budownictwa </w:t>
            </w:r>
          </w:p>
          <w:p w:rsidR="002C4F03" w:rsidRPr="0021446D" w:rsidRDefault="002C4F03" w:rsidP="00115506">
            <w:pPr>
              <w:spacing w:line="240" w:lineRule="auto"/>
              <w:rPr>
                <w:b/>
                <w:color w:val="000000"/>
              </w:rPr>
            </w:pPr>
            <w:r>
              <w:rPr>
                <w:b/>
                <w:color w:val="000000"/>
              </w:rPr>
              <w:t>140</w:t>
            </w:r>
          </w:p>
          <w:p w:rsidR="002C4F03" w:rsidRPr="008B4FE6" w:rsidRDefault="002C4F03" w:rsidP="00A17CB2">
            <w:pPr>
              <w:spacing w:line="240" w:lineRule="auto"/>
              <w:rPr>
                <w:color w:val="000000"/>
                <w:sz w:val="28"/>
                <w:szCs w:val="28"/>
              </w:rPr>
            </w:pPr>
          </w:p>
        </w:tc>
      </w:tr>
      <w:tr w:rsidR="002C4F03" w:rsidRPr="0022687A" w:rsidTr="00676C8D">
        <w:trPr>
          <w:gridAfter w:val="1"/>
          <w:wAfter w:w="10" w:type="dxa"/>
          <w:trHeight w:val="142"/>
        </w:trPr>
        <w:tc>
          <w:tcPr>
            <w:tcW w:w="10937" w:type="dxa"/>
            <w:gridSpan w:val="29"/>
            <w:shd w:val="clear" w:color="auto" w:fill="99CCFF"/>
          </w:tcPr>
          <w:p w:rsidR="002C4F03" w:rsidRPr="00627221" w:rsidRDefault="002C4F03" w:rsidP="001B4CA1">
            <w:pPr>
              <w:spacing w:line="240" w:lineRule="auto"/>
              <w:ind w:left="57"/>
              <w:jc w:val="center"/>
              <w:rPr>
                <w:b/>
                <w:color w:val="FFFFFF"/>
                <w:sz w:val="32"/>
                <w:szCs w:val="32"/>
              </w:rPr>
            </w:pPr>
            <w:r w:rsidRPr="00627221">
              <w:rPr>
                <w:b/>
                <w:color w:val="FFFFFF"/>
                <w:sz w:val="32"/>
                <w:szCs w:val="32"/>
              </w:rPr>
              <w:t>OCENA SKUTKÓW REGULACJI</w:t>
            </w:r>
          </w:p>
        </w:tc>
      </w:tr>
      <w:tr w:rsidR="002C4F03" w:rsidRPr="008B4FE6" w:rsidTr="00676C8D">
        <w:trPr>
          <w:gridAfter w:val="1"/>
          <w:wAfter w:w="10" w:type="dxa"/>
          <w:trHeight w:val="333"/>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1812C7">
              <w:rPr>
                <w:b/>
              </w:rPr>
              <w:t>Jaki problem jest rozwiązywany</w:t>
            </w:r>
            <w:r>
              <w:rPr>
                <w:b/>
              </w:rPr>
              <w:t>?</w:t>
            </w:r>
            <w:bookmarkStart w:id="4" w:name="Wybór1"/>
            <w:bookmarkEnd w:id="4"/>
          </w:p>
        </w:tc>
      </w:tr>
      <w:tr w:rsidR="002C4F03" w:rsidRPr="008B4FE6" w:rsidTr="00676C8D">
        <w:trPr>
          <w:gridAfter w:val="1"/>
          <w:wAfter w:w="10" w:type="dxa"/>
          <w:trHeight w:val="142"/>
        </w:trPr>
        <w:tc>
          <w:tcPr>
            <w:tcW w:w="10937" w:type="dxa"/>
            <w:gridSpan w:val="29"/>
            <w:shd w:val="clear" w:color="auto" w:fill="FFFFFF"/>
          </w:tcPr>
          <w:p w:rsidR="002C4F03" w:rsidRDefault="002C4F03" w:rsidP="00B048FF">
            <w:pPr>
              <w:spacing w:line="240" w:lineRule="auto"/>
              <w:jc w:val="both"/>
              <w:rPr>
                <w:szCs w:val="24"/>
              </w:rPr>
            </w:pPr>
            <w:r>
              <w:t xml:space="preserve">Potrzeba wydania rozporządzenia wynika z braku szczegółowych regulacji dotyczących sposobu przewozu ładunku. Ustawodawca w </w:t>
            </w:r>
            <w:r w:rsidRPr="003801F9">
              <w:rPr>
                <w:i/>
              </w:rPr>
              <w:t>ustawie z dnia 20 czerwca 1997 r. – Prawo o ruchu drogowym</w:t>
            </w:r>
            <w:r>
              <w:t xml:space="preserve"> (Dz. U. z 2017 r. poz. 128, ze zm.) określił jedynie podstawowe kwestie odnoszące się do sposobu przewozu ładunku i jednocześnie wprowadził fakultatywne upoważnienie dla ministra właściwego do spraw transportu do wydania rozporządzenia w tych kwestiach. </w:t>
            </w:r>
            <w:r w:rsidRPr="006F3AE2">
              <w:t xml:space="preserve">Rozporządzenie </w:t>
            </w:r>
            <w:r>
              <w:t xml:space="preserve">określi sposób przewozu ładunku, </w:t>
            </w:r>
            <w:r>
              <w:rPr>
                <w:szCs w:val="24"/>
              </w:rPr>
              <w:t xml:space="preserve">z uwzględnieniem </w:t>
            </w:r>
            <w:r w:rsidRPr="000544AD">
              <w:rPr>
                <w:szCs w:val="24"/>
              </w:rPr>
              <w:t>jego rozmieszczeni</w:t>
            </w:r>
            <w:r>
              <w:rPr>
                <w:szCs w:val="24"/>
              </w:rPr>
              <w:t>a</w:t>
            </w:r>
            <w:r w:rsidRPr="000544AD">
              <w:rPr>
                <w:szCs w:val="24"/>
              </w:rPr>
              <w:t xml:space="preserve"> oraz </w:t>
            </w:r>
            <w:r>
              <w:rPr>
                <w:szCs w:val="24"/>
              </w:rPr>
              <w:t xml:space="preserve">wpływu </w:t>
            </w:r>
            <w:r w:rsidRPr="009D56FF">
              <w:rPr>
                <w:bCs/>
                <w:szCs w:val="24"/>
              </w:rPr>
              <w:t>mocowani</w:t>
            </w:r>
            <w:r>
              <w:rPr>
                <w:bCs/>
                <w:szCs w:val="24"/>
              </w:rPr>
              <w:t>a</w:t>
            </w:r>
            <w:r w:rsidRPr="009D56FF">
              <w:rPr>
                <w:bCs/>
                <w:szCs w:val="24"/>
              </w:rPr>
              <w:t xml:space="preserve"> na pojeździe </w:t>
            </w:r>
            <w:r>
              <w:rPr>
                <w:bCs/>
                <w:szCs w:val="24"/>
              </w:rPr>
              <w:t>stosownie do</w:t>
            </w:r>
            <w:r w:rsidRPr="009D56FF">
              <w:rPr>
                <w:bCs/>
                <w:szCs w:val="24"/>
              </w:rPr>
              <w:t xml:space="preserve"> rodzaj</w:t>
            </w:r>
            <w:r>
              <w:rPr>
                <w:bCs/>
                <w:szCs w:val="24"/>
              </w:rPr>
              <w:t>u</w:t>
            </w:r>
            <w:r w:rsidRPr="009D56FF">
              <w:rPr>
                <w:bCs/>
                <w:szCs w:val="24"/>
              </w:rPr>
              <w:t xml:space="preserve"> przewożonego ładunku.</w:t>
            </w:r>
            <w:r w:rsidRPr="00E16773">
              <w:rPr>
                <w:color w:val="000000"/>
                <w:spacing w:val="-2"/>
              </w:rPr>
              <w:t xml:space="preserve"> Rozporządzenie wprowadz</w:t>
            </w:r>
            <w:r>
              <w:rPr>
                <w:color w:val="000000"/>
                <w:spacing w:val="-2"/>
              </w:rPr>
              <w:t>i</w:t>
            </w:r>
            <w:r w:rsidRPr="00E16773">
              <w:rPr>
                <w:color w:val="000000"/>
                <w:spacing w:val="-2"/>
              </w:rPr>
              <w:t xml:space="preserve"> także wymagania dla </w:t>
            </w:r>
            <w:r w:rsidRPr="00E16773">
              <w:t>urządzeń służących do mocowania ładunku.</w:t>
            </w:r>
            <w:r>
              <w:rPr>
                <w:szCs w:val="24"/>
              </w:rPr>
              <w:t xml:space="preserve"> </w:t>
            </w:r>
          </w:p>
          <w:p w:rsidR="002C4F03" w:rsidRPr="00B048FF" w:rsidRDefault="002C4F03" w:rsidP="00B048FF">
            <w:pPr>
              <w:rPr>
                <w:rFonts w:eastAsia="Calibri" w:cs="Times New Roman"/>
                <w:sz w:val="22"/>
                <w:szCs w:val="22"/>
                <w:lang w:eastAsia="en-US"/>
              </w:rPr>
            </w:pPr>
            <w:r w:rsidRPr="00B048FF">
              <w:rPr>
                <w:rFonts w:eastAsia="Calibri" w:cs="Times New Roman"/>
                <w:sz w:val="22"/>
                <w:szCs w:val="22"/>
                <w:lang w:eastAsia="en-US"/>
              </w:rPr>
              <w:t>Niniejsz</w:t>
            </w:r>
            <w:r>
              <w:rPr>
                <w:rFonts w:eastAsia="Calibri" w:cs="Times New Roman"/>
                <w:sz w:val="22"/>
                <w:szCs w:val="22"/>
                <w:lang w:eastAsia="en-US"/>
              </w:rPr>
              <w:t>y</w:t>
            </w:r>
            <w:r w:rsidRPr="00B048FF">
              <w:rPr>
                <w:rFonts w:eastAsia="Calibri" w:cs="Times New Roman"/>
                <w:sz w:val="22"/>
                <w:szCs w:val="22"/>
                <w:lang w:eastAsia="en-US"/>
              </w:rPr>
              <w:t xml:space="preserve"> </w:t>
            </w:r>
            <w:r>
              <w:rPr>
                <w:rFonts w:eastAsia="Calibri" w:cs="Times New Roman"/>
                <w:sz w:val="22"/>
                <w:szCs w:val="22"/>
                <w:lang w:eastAsia="en-US"/>
              </w:rPr>
              <w:t xml:space="preserve">projekt </w:t>
            </w:r>
            <w:r w:rsidRPr="00B048FF">
              <w:rPr>
                <w:rFonts w:eastAsia="Calibri" w:cs="Times New Roman"/>
                <w:sz w:val="22"/>
                <w:szCs w:val="22"/>
                <w:lang w:eastAsia="en-US"/>
              </w:rPr>
              <w:t>rozporządzeni</w:t>
            </w:r>
            <w:r>
              <w:rPr>
                <w:rFonts w:eastAsia="Calibri" w:cs="Times New Roman"/>
                <w:sz w:val="22"/>
                <w:szCs w:val="22"/>
                <w:lang w:eastAsia="en-US"/>
              </w:rPr>
              <w:t>a</w:t>
            </w:r>
            <w:r w:rsidRPr="00B048FF">
              <w:rPr>
                <w:rFonts w:eastAsia="Calibri" w:cs="Times New Roman"/>
                <w:sz w:val="22"/>
                <w:szCs w:val="22"/>
                <w:lang w:eastAsia="en-US"/>
              </w:rPr>
              <w:t xml:space="preserve"> w zakresie swojej regulacji uwzględnia także „Zasady zabezpieczenia ładunku” określone w pkt 1 załącznika III </w:t>
            </w:r>
            <w:r w:rsidRPr="003801F9">
              <w:rPr>
                <w:rFonts w:eastAsia="Calibri" w:cs="Times New Roman"/>
                <w:i/>
                <w:sz w:val="22"/>
                <w:szCs w:val="22"/>
                <w:lang w:eastAsia="en-US"/>
              </w:rPr>
              <w:t>dyrektywy Parlamentu Europejskiego i Rady 2014/47/UE z dnia 3 kwietnia 2014 r. w sprawie drogowej kontroli technicznej dotyczącej zdatności do ruchu drogowego pojazdów użytkowych poruszających się w Unii oraz uchylającej dyrektywę 2000/30/WE</w:t>
            </w:r>
            <w:r w:rsidRPr="00B048FF">
              <w:rPr>
                <w:rFonts w:eastAsia="Calibri" w:cs="Times New Roman"/>
                <w:sz w:val="22"/>
                <w:szCs w:val="22"/>
                <w:lang w:eastAsia="en-US"/>
              </w:rPr>
              <w:t xml:space="preserve"> (Dz. Urz. UE L 127 z 29.04.2014, str. 134).</w:t>
            </w:r>
          </w:p>
          <w:p w:rsidR="002C4F03" w:rsidRPr="00B37C80" w:rsidRDefault="002C4F03" w:rsidP="00B855F4">
            <w:pPr>
              <w:spacing w:line="240" w:lineRule="auto"/>
              <w:jc w:val="both"/>
              <w:rPr>
                <w:color w:val="000000"/>
              </w:rPr>
            </w:pPr>
          </w:p>
        </w:tc>
      </w:tr>
      <w:tr w:rsidR="002C4F03" w:rsidRPr="008B4FE6" w:rsidTr="00676C8D">
        <w:trPr>
          <w:gridAfter w:val="1"/>
          <w:wAfter w:w="10" w:type="dxa"/>
          <w:trHeight w:val="142"/>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1A5FDA">
              <w:rPr>
                <w:b/>
                <w:color w:val="000000"/>
                <w:spacing w:val="-2"/>
              </w:rPr>
              <w:t>Rekomendowane rozwiązanie</w:t>
            </w:r>
            <w:r>
              <w:rPr>
                <w:b/>
                <w:color w:val="000000"/>
                <w:spacing w:val="-2"/>
              </w:rPr>
              <w:t>,</w:t>
            </w:r>
            <w:r w:rsidRPr="001A5FDA">
              <w:rPr>
                <w:b/>
                <w:color w:val="000000"/>
                <w:spacing w:val="-2"/>
              </w:rPr>
              <w:t xml:space="preserve"> w tym planowane narzędzia interwencji</w:t>
            </w:r>
            <w:r>
              <w:rPr>
                <w:b/>
                <w:color w:val="000000"/>
                <w:spacing w:val="-2"/>
              </w:rPr>
              <w:t>,</w:t>
            </w:r>
            <w:r w:rsidRPr="001A5FDA">
              <w:rPr>
                <w:b/>
                <w:color w:val="000000"/>
                <w:spacing w:val="-2"/>
              </w:rPr>
              <w:t xml:space="preserve"> i oczekiwany efekt</w:t>
            </w:r>
          </w:p>
        </w:tc>
      </w:tr>
      <w:tr w:rsidR="002C4F03" w:rsidRPr="008B4FE6" w:rsidTr="00676C8D">
        <w:trPr>
          <w:gridAfter w:val="1"/>
          <w:wAfter w:w="10" w:type="dxa"/>
          <w:trHeight w:val="142"/>
        </w:trPr>
        <w:tc>
          <w:tcPr>
            <w:tcW w:w="10937" w:type="dxa"/>
            <w:gridSpan w:val="29"/>
            <w:shd w:val="clear" w:color="auto" w:fill="auto"/>
          </w:tcPr>
          <w:p w:rsidR="002C4F03" w:rsidRDefault="002C4F03" w:rsidP="00D94359">
            <w:pPr>
              <w:spacing w:line="240" w:lineRule="auto"/>
              <w:jc w:val="both"/>
              <w:rPr>
                <w:color w:val="000000"/>
                <w:spacing w:val="-2"/>
              </w:rPr>
            </w:pPr>
            <w:r w:rsidRPr="00FD3D21">
              <w:rPr>
                <w:color w:val="000000"/>
                <w:spacing w:val="-2"/>
              </w:rPr>
              <w:t xml:space="preserve">Projekt rozporządzenia </w:t>
            </w:r>
            <w:r>
              <w:rPr>
                <w:color w:val="000000"/>
                <w:spacing w:val="-2"/>
              </w:rPr>
              <w:t>określa</w:t>
            </w:r>
            <w:r w:rsidRPr="00FD3D21">
              <w:rPr>
                <w:color w:val="000000"/>
                <w:spacing w:val="-2"/>
              </w:rPr>
              <w:t>:</w:t>
            </w:r>
          </w:p>
          <w:p w:rsidR="002C4F03" w:rsidRDefault="002C4F03" w:rsidP="002C4F03">
            <w:pPr>
              <w:pStyle w:val="Akapitzlist"/>
              <w:numPr>
                <w:ilvl w:val="0"/>
                <w:numId w:val="49"/>
              </w:numPr>
              <w:autoSpaceDE w:val="0"/>
              <w:autoSpaceDN w:val="0"/>
              <w:adjustRightInd w:val="0"/>
              <w:spacing w:after="0" w:line="240" w:lineRule="auto"/>
              <w:jc w:val="both"/>
              <w:rPr>
                <w:rFonts w:ascii="Times New Roman" w:hAnsi="Times New Roman"/>
                <w:bCs/>
                <w:sz w:val="24"/>
                <w:szCs w:val="24"/>
              </w:rPr>
            </w:pPr>
            <w:r w:rsidRPr="000F0847">
              <w:rPr>
                <w:rFonts w:ascii="Times New Roman" w:hAnsi="Times New Roman"/>
                <w:bCs/>
                <w:sz w:val="24"/>
                <w:szCs w:val="24"/>
              </w:rPr>
              <w:t xml:space="preserve">sposób przewozu ładunku </w:t>
            </w:r>
            <w:r>
              <w:rPr>
                <w:rFonts w:ascii="Times New Roman" w:hAnsi="Times New Roman"/>
                <w:bCs/>
                <w:sz w:val="24"/>
                <w:szCs w:val="24"/>
              </w:rPr>
              <w:t xml:space="preserve">przy uwzględnieniu jego rozmieszczenia </w:t>
            </w:r>
            <w:r w:rsidRPr="000F0847">
              <w:rPr>
                <w:rFonts w:ascii="Times New Roman" w:hAnsi="Times New Roman"/>
                <w:bCs/>
                <w:sz w:val="24"/>
                <w:szCs w:val="24"/>
              </w:rPr>
              <w:t xml:space="preserve">na pojeździe - prawidłowe zabezpieczenie ładunku wpłynie na </w:t>
            </w:r>
            <w:r>
              <w:rPr>
                <w:rFonts w:ascii="Times New Roman" w:hAnsi="Times New Roman"/>
                <w:bCs/>
                <w:sz w:val="24"/>
                <w:szCs w:val="24"/>
              </w:rPr>
              <w:t xml:space="preserve">zwiększenie </w:t>
            </w:r>
            <w:r w:rsidRPr="00E67BBE">
              <w:rPr>
                <w:rFonts w:ascii="Times New Roman" w:hAnsi="Times New Roman"/>
                <w:bCs/>
                <w:sz w:val="24"/>
                <w:szCs w:val="24"/>
              </w:rPr>
              <w:t>bezpiecze</w:t>
            </w:r>
            <w:r>
              <w:rPr>
                <w:rFonts w:ascii="Times New Roman" w:hAnsi="Times New Roman"/>
                <w:bCs/>
                <w:sz w:val="24"/>
                <w:szCs w:val="24"/>
              </w:rPr>
              <w:t>ństwa</w:t>
            </w:r>
            <w:r w:rsidRPr="00E67BBE">
              <w:rPr>
                <w:rFonts w:ascii="Times New Roman" w:hAnsi="Times New Roman"/>
                <w:bCs/>
                <w:sz w:val="24"/>
                <w:szCs w:val="24"/>
              </w:rPr>
              <w:t xml:space="preserve"> ruchu drogowego, nie </w:t>
            </w:r>
            <w:r>
              <w:rPr>
                <w:rFonts w:ascii="Times New Roman" w:hAnsi="Times New Roman"/>
                <w:bCs/>
                <w:sz w:val="24"/>
                <w:szCs w:val="24"/>
              </w:rPr>
              <w:t xml:space="preserve">będzie </w:t>
            </w:r>
            <w:r w:rsidRPr="00E67BBE">
              <w:rPr>
                <w:rFonts w:ascii="Times New Roman" w:hAnsi="Times New Roman"/>
                <w:bCs/>
                <w:sz w:val="24"/>
                <w:szCs w:val="24"/>
              </w:rPr>
              <w:t>stanowił</w:t>
            </w:r>
            <w:r>
              <w:rPr>
                <w:rFonts w:ascii="Times New Roman" w:hAnsi="Times New Roman"/>
                <w:bCs/>
                <w:sz w:val="24"/>
                <w:szCs w:val="24"/>
              </w:rPr>
              <w:t>o</w:t>
            </w:r>
            <w:r w:rsidRPr="00E67BBE">
              <w:rPr>
                <w:rFonts w:ascii="Times New Roman" w:hAnsi="Times New Roman"/>
                <w:bCs/>
                <w:sz w:val="24"/>
                <w:szCs w:val="24"/>
              </w:rPr>
              <w:t xml:space="preserve"> zagrożenia dla zdrowia i życi</w:t>
            </w:r>
            <w:r>
              <w:rPr>
                <w:rFonts w:ascii="Times New Roman" w:hAnsi="Times New Roman"/>
                <w:bCs/>
                <w:sz w:val="24"/>
                <w:szCs w:val="24"/>
              </w:rPr>
              <w:t>a ludzi, mienia oraz środowiska;</w:t>
            </w:r>
          </w:p>
          <w:p w:rsidR="002C4F03" w:rsidRPr="0051624E" w:rsidRDefault="002C4F03" w:rsidP="002C4F03">
            <w:pPr>
              <w:pStyle w:val="Akapitzlist"/>
              <w:numPr>
                <w:ilvl w:val="0"/>
                <w:numId w:val="49"/>
              </w:numPr>
              <w:autoSpaceDE w:val="0"/>
              <w:autoSpaceDN w:val="0"/>
              <w:adjustRightInd w:val="0"/>
              <w:spacing w:after="0" w:line="240" w:lineRule="auto"/>
              <w:jc w:val="both"/>
              <w:rPr>
                <w:rFonts w:ascii="Times New Roman" w:hAnsi="Times New Roman"/>
                <w:bCs/>
                <w:sz w:val="24"/>
                <w:szCs w:val="24"/>
              </w:rPr>
            </w:pPr>
            <w:r w:rsidRPr="0051624E">
              <w:rPr>
                <w:rFonts w:ascii="Times New Roman" w:hAnsi="Times New Roman"/>
                <w:bCs/>
                <w:sz w:val="24"/>
                <w:szCs w:val="24"/>
              </w:rPr>
              <w:t xml:space="preserve">wymagania dla przestrzeni ładunkowej pojazdu, wymagania techniczne w odniesieniu do elementów konstrukcji pojazdu </w:t>
            </w:r>
            <w:r>
              <w:rPr>
                <w:rFonts w:ascii="Times New Roman" w:eastAsiaTheme="minorHAnsi" w:hAnsi="Times New Roman"/>
                <w:szCs w:val="24"/>
              </w:rPr>
              <w:t>związanych z zabezpieczeniem przewożonego ładunku</w:t>
            </w:r>
            <w:r w:rsidRPr="0051624E">
              <w:rPr>
                <w:rFonts w:ascii="Times New Roman" w:hAnsi="Times New Roman"/>
                <w:bCs/>
                <w:sz w:val="24"/>
                <w:szCs w:val="24"/>
              </w:rPr>
              <w:t xml:space="preserve"> oraz wymagania dla urządzeń służących do mocowania ładunku, które powinny być zgodne z wymaganiami określonymi w poszczególnych normach </w:t>
            </w:r>
            <w:r>
              <w:rPr>
                <w:rFonts w:ascii="Times New Roman" w:hAnsi="Times New Roman"/>
                <w:bCs/>
                <w:sz w:val="24"/>
                <w:szCs w:val="24"/>
              </w:rPr>
              <w:t>– doprecyzowanie wymienionych wymagań jest istotne dla ochrony przewożonego ładunku.</w:t>
            </w:r>
          </w:p>
          <w:p w:rsidR="002C4F03" w:rsidRDefault="002C4F03" w:rsidP="00A734E5">
            <w:pPr>
              <w:spacing w:line="240" w:lineRule="auto"/>
              <w:jc w:val="both"/>
            </w:pPr>
          </w:p>
          <w:p w:rsidR="002C4F03" w:rsidRPr="0051624E" w:rsidRDefault="002C4F03" w:rsidP="00A734E5">
            <w:pPr>
              <w:spacing w:line="240" w:lineRule="auto"/>
              <w:jc w:val="both"/>
            </w:pPr>
            <w:r>
              <w:t xml:space="preserve">Projektowane przepisy mają na celu zagwarantowanie jak najwyższego  poziomu bezpieczeństwa w ruchu drogowym oraz ochronę środowiska. </w:t>
            </w:r>
          </w:p>
        </w:tc>
      </w:tr>
      <w:tr w:rsidR="002C4F03" w:rsidRPr="008B4FE6" w:rsidTr="00676C8D">
        <w:trPr>
          <w:gridAfter w:val="1"/>
          <w:wAfter w:w="10" w:type="dxa"/>
          <w:trHeight w:val="307"/>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Pr>
                <w:b/>
                <w:spacing w:val="-2"/>
              </w:rPr>
              <w:t>Jak problem został rozwiązany</w:t>
            </w:r>
            <w:r w:rsidRPr="001812C7">
              <w:rPr>
                <w:b/>
                <w:spacing w:val="-2"/>
              </w:rPr>
              <w:t xml:space="preserve"> w innych krajach, w szczególności krajach członkowskich OECD/UE</w:t>
            </w:r>
            <w:r w:rsidRPr="008B4FE6">
              <w:rPr>
                <w:b/>
                <w:color w:val="000000"/>
              </w:rPr>
              <w:t>?</w:t>
            </w:r>
            <w:r w:rsidRPr="008B4FE6">
              <w:rPr>
                <w:i/>
                <w:color w:val="000000"/>
              </w:rPr>
              <w:t xml:space="preserve"> </w:t>
            </w:r>
          </w:p>
        </w:tc>
      </w:tr>
      <w:tr w:rsidR="002C4F03" w:rsidRPr="008B4FE6" w:rsidTr="00676C8D">
        <w:trPr>
          <w:gridAfter w:val="1"/>
          <w:wAfter w:w="10" w:type="dxa"/>
          <w:trHeight w:val="142"/>
        </w:trPr>
        <w:tc>
          <w:tcPr>
            <w:tcW w:w="10937" w:type="dxa"/>
            <w:gridSpan w:val="29"/>
            <w:shd w:val="clear" w:color="auto" w:fill="auto"/>
          </w:tcPr>
          <w:p w:rsidR="002C4F03" w:rsidRPr="00A17DBB" w:rsidRDefault="002C4F03" w:rsidP="00A17DBB">
            <w:pPr>
              <w:jc w:val="both"/>
              <w:rPr>
                <w:sz w:val="23"/>
                <w:szCs w:val="23"/>
              </w:rPr>
            </w:pPr>
            <w:r w:rsidRPr="00BD3C3A">
              <w:rPr>
                <w:rFonts w:cs="Times New Roman"/>
                <w:spacing w:val="4"/>
                <w:sz w:val="22"/>
                <w:szCs w:val="22"/>
              </w:rPr>
              <w:t xml:space="preserve">Komisja Europejska w 2014 r. wydała  </w:t>
            </w:r>
            <w:r w:rsidRPr="00BD3C3A">
              <w:rPr>
                <w:rFonts w:cs="Times New Roman"/>
                <w:i/>
                <w:sz w:val="22"/>
                <w:szCs w:val="22"/>
              </w:rPr>
              <w:t xml:space="preserve">Wytyczne odnośnie do europejskich najlepszych praktyk w zakresie mocowania ładunków w transporcie drogowym. </w:t>
            </w:r>
            <w:r w:rsidRPr="00BC751D">
              <w:rPr>
                <w:rFonts w:cs="Times New Roman"/>
                <w:sz w:val="22"/>
                <w:szCs w:val="22"/>
              </w:rPr>
              <w:t>Niniejszy akt został</w:t>
            </w:r>
            <w:r w:rsidRPr="00BD3C3A">
              <w:rPr>
                <w:rFonts w:cs="Times New Roman"/>
                <w:i/>
                <w:sz w:val="22"/>
                <w:szCs w:val="22"/>
              </w:rPr>
              <w:t xml:space="preserve"> </w:t>
            </w:r>
            <w:r w:rsidRPr="00BD3C3A">
              <w:rPr>
                <w:rFonts w:cs="Times New Roman"/>
                <w:sz w:val="22"/>
                <w:szCs w:val="22"/>
              </w:rPr>
              <w:t xml:space="preserve">opracowany przez Grupę Ekspertów powołaną przez Dyrekcję Generalną ds. Mobilności i Transportu, w której skład weszli eksperci wyznaczeni przez państwa członkowskie i branżę. </w:t>
            </w:r>
            <w:r w:rsidRPr="00763D2C">
              <w:rPr>
                <w:sz w:val="23"/>
                <w:szCs w:val="23"/>
              </w:rPr>
              <w:t>Wytyczne stanowią przewodnik</w:t>
            </w:r>
            <w:r w:rsidRPr="00763D2C">
              <w:rPr>
                <w:iCs/>
                <w:sz w:val="23"/>
                <w:szCs w:val="23"/>
              </w:rPr>
              <w:t xml:space="preserve"> doty</w:t>
            </w:r>
            <w:r w:rsidRPr="00763D2C">
              <w:rPr>
                <w:iCs/>
                <w:sz w:val="23"/>
                <w:szCs w:val="23"/>
              </w:rPr>
              <w:softHyphen/>
              <w:t>czący właściwego mocowania ładunków we wszystkich sytuacjach, jakie mogą wystąpić w ruchu drogowym.</w:t>
            </w:r>
            <w:r>
              <w:rPr>
                <w:iCs/>
                <w:sz w:val="23"/>
                <w:szCs w:val="23"/>
              </w:rPr>
              <w:t xml:space="preserve"> </w:t>
            </w:r>
            <w:r w:rsidRPr="00BD3C3A">
              <w:rPr>
                <w:rFonts w:cs="Times New Roman"/>
                <w:sz w:val="22"/>
                <w:szCs w:val="22"/>
              </w:rPr>
              <w:t>W państwach członkowskich mogą obowiązywać szczególne wymogi zwią</w:t>
            </w:r>
            <w:r w:rsidRPr="00BD3C3A">
              <w:rPr>
                <w:rFonts w:cs="Times New Roman"/>
                <w:sz w:val="22"/>
                <w:szCs w:val="22"/>
              </w:rPr>
              <w:softHyphen/>
              <w:t xml:space="preserve">zane z </w:t>
            </w:r>
            <w:r w:rsidRPr="00BD3C3A">
              <w:rPr>
                <w:rFonts w:cs="Times New Roman"/>
                <w:sz w:val="22"/>
                <w:szCs w:val="22"/>
              </w:rPr>
              <w:lastRenderedPageBreak/>
              <w:t xml:space="preserve">mocowaniem ładunków, które nie zostały ujęte w </w:t>
            </w:r>
            <w:r>
              <w:rPr>
                <w:rFonts w:cs="Times New Roman"/>
                <w:sz w:val="22"/>
                <w:szCs w:val="22"/>
              </w:rPr>
              <w:t>ww. wytycznych</w:t>
            </w:r>
            <w:r>
              <w:t>.</w:t>
            </w:r>
          </w:p>
          <w:p w:rsidR="002C4F03" w:rsidRPr="00A70704" w:rsidRDefault="002C4F03" w:rsidP="00AE537F">
            <w:pPr>
              <w:spacing w:line="240" w:lineRule="auto"/>
              <w:jc w:val="both"/>
            </w:pPr>
          </w:p>
        </w:tc>
      </w:tr>
      <w:tr w:rsidR="002C4F03" w:rsidRPr="008B4FE6" w:rsidTr="00676C8D">
        <w:trPr>
          <w:gridAfter w:val="1"/>
          <w:wAfter w:w="10" w:type="dxa"/>
          <w:trHeight w:val="359"/>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8B4FE6">
              <w:rPr>
                <w:b/>
                <w:color w:val="000000"/>
              </w:rPr>
              <w:lastRenderedPageBreak/>
              <w:t>Podmioty, na które oddziałuje projekt</w:t>
            </w:r>
          </w:p>
        </w:tc>
      </w:tr>
      <w:tr w:rsidR="002C4F03" w:rsidRPr="008B4FE6" w:rsidTr="00676C8D">
        <w:trPr>
          <w:gridAfter w:val="1"/>
          <w:wAfter w:w="10" w:type="dxa"/>
          <w:trHeight w:val="142"/>
        </w:trPr>
        <w:tc>
          <w:tcPr>
            <w:tcW w:w="2668" w:type="dxa"/>
            <w:gridSpan w:val="3"/>
            <w:shd w:val="clear" w:color="auto" w:fill="auto"/>
          </w:tcPr>
          <w:p w:rsidR="002C4F03" w:rsidRPr="008B4FE6" w:rsidRDefault="002C4F03" w:rsidP="0072636A">
            <w:pPr>
              <w:spacing w:before="40" w:line="240" w:lineRule="auto"/>
              <w:jc w:val="center"/>
              <w:rPr>
                <w:color w:val="000000"/>
                <w:spacing w:val="-2"/>
              </w:rPr>
            </w:pPr>
            <w:r w:rsidRPr="008B4FE6">
              <w:rPr>
                <w:color w:val="000000"/>
                <w:spacing w:val="-2"/>
              </w:rPr>
              <w:t>Grupa</w:t>
            </w:r>
          </w:p>
        </w:tc>
        <w:tc>
          <w:tcPr>
            <w:tcW w:w="2292" w:type="dxa"/>
            <w:gridSpan w:val="8"/>
            <w:shd w:val="clear" w:color="auto" w:fill="auto"/>
          </w:tcPr>
          <w:p w:rsidR="002C4F03" w:rsidRPr="008B4FE6" w:rsidRDefault="002C4F03" w:rsidP="0072636A">
            <w:pPr>
              <w:spacing w:before="40" w:line="240" w:lineRule="auto"/>
              <w:jc w:val="center"/>
              <w:rPr>
                <w:color w:val="000000"/>
                <w:spacing w:val="-2"/>
              </w:rPr>
            </w:pPr>
            <w:r>
              <w:rPr>
                <w:color w:val="000000"/>
                <w:spacing w:val="-2"/>
              </w:rPr>
              <w:t>Wielkość</w:t>
            </w:r>
          </w:p>
        </w:tc>
        <w:tc>
          <w:tcPr>
            <w:tcW w:w="2996" w:type="dxa"/>
            <w:gridSpan w:val="12"/>
            <w:shd w:val="clear" w:color="auto" w:fill="auto"/>
          </w:tcPr>
          <w:p w:rsidR="002C4F03" w:rsidRPr="008B4FE6" w:rsidRDefault="002C4F03" w:rsidP="0072636A">
            <w:pPr>
              <w:spacing w:before="40" w:line="240" w:lineRule="auto"/>
              <w:jc w:val="center"/>
              <w:rPr>
                <w:color w:val="000000"/>
                <w:spacing w:val="-2"/>
              </w:rPr>
            </w:pPr>
            <w:r w:rsidRPr="008B4FE6">
              <w:rPr>
                <w:color w:val="000000"/>
                <w:spacing w:val="-2"/>
              </w:rPr>
              <w:t>Źródło danych</w:t>
            </w:r>
            <w:r w:rsidRPr="008B4FE6" w:rsidDel="00260F33">
              <w:rPr>
                <w:color w:val="000000"/>
                <w:spacing w:val="-2"/>
              </w:rPr>
              <w:t xml:space="preserve"> </w:t>
            </w:r>
          </w:p>
        </w:tc>
        <w:tc>
          <w:tcPr>
            <w:tcW w:w="2981" w:type="dxa"/>
            <w:gridSpan w:val="6"/>
            <w:shd w:val="clear" w:color="auto" w:fill="auto"/>
          </w:tcPr>
          <w:p w:rsidR="002C4F03" w:rsidRPr="008B4FE6" w:rsidRDefault="002C4F03" w:rsidP="0072636A">
            <w:pPr>
              <w:spacing w:before="40" w:line="240" w:lineRule="auto"/>
              <w:jc w:val="center"/>
              <w:rPr>
                <w:color w:val="000000"/>
                <w:spacing w:val="-2"/>
              </w:rPr>
            </w:pPr>
            <w:r w:rsidRPr="008B4FE6">
              <w:rPr>
                <w:color w:val="000000"/>
                <w:spacing w:val="-2"/>
              </w:rPr>
              <w:t>Oddziaływanie</w:t>
            </w:r>
          </w:p>
        </w:tc>
      </w:tr>
      <w:tr w:rsidR="002C4F03" w:rsidRPr="008B4FE6" w:rsidTr="00676C8D">
        <w:trPr>
          <w:gridAfter w:val="1"/>
          <w:wAfter w:w="10" w:type="dxa"/>
          <w:trHeight w:val="142"/>
        </w:trPr>
        <w:tc>
          <w:tcPr>
            <w:tcW w:w="2668" w:type="dxa"/>
            <w:gridSpan w:val="3"/>
            <w:shd w:val="clear" w:color="auto" w:fill="auto"/>
          </w:tcPr>
          <w:p w:rsidR="002C4F03" w:rsidRPr="0053427C" w:rsidRDefault="002C4F03" w:rsidP="009B0329">
            <w:pPr>
              <w:spacing w:line="240" w:lineRule="auto"/>
              <w:rPr>
                <w:color w:val="000000"/>
                <w:spacing w:val="-2"/>
              </w:rPr>
            </w:pPr>
            <w:r w:rsidRPr="00C645B7">
              <w:rPr>
                <w:color w:val="000000"/>
              </w:rPr>
              <w:t xml:space="preserve">Właściciele </w:t>
            </w:r>
            <w:r>
              <w:rPr>
                <w:color w:val="000000"/>
              </w:rPr>
              <w:t>pojazdów kategorii N</w:t>
            </w:r>
            <w:r>
              <w:rPr>
                <w:color w:val="000000"/>
                <w:vertAlign w:val="subscript"/>
              </w:rPr>
              <w:t xml:space="preserve"> </w:t>
            </w:r>
            <w:r>
              <w:rPr>
                <w:color w:val="000000"/>
                <w:spacing w:val="-2"/>
              </w:rPr>
              <w:t>i O</w:t>
            </w:r>
          </w:p>
        </w:tc>
        <w:tc>
          <w:tcPr>
            <w:tcW w:w="2292" w:type="dxa"/>
            <w:gridSpan w:val="8"/>
            <w:shd w:val="clear" w:color="auto" w:fill="auto"/>
          </w:tcPr>
          <w:p w:rsidR="002C4F03" w:rsidRPr="00C645B7" w:rsidRDefault="002C4F03" w:rsidP="00522C1C">
            <w:pPr>
              <w:spacing w:line="240" w:lineRule="auto"/>
              <w:jc w:val="center"/>
              <w:rPr>
                <w:color w:val="000000"/>
                <w:spacing w:val="-2"/>
              </w:rPr>
            </w:pPr>
            <w:r>
              <w:rPr>
                <w:color w:val="000000"/>
                <w:spacing w:val="-2"/>
              </w:rPr>
              <w:t>2,7 mln.</w:t>
            </w:r>
          </w:p>
        </w:tc>
        <w:tc>
          <w:tcPr>
            <w:tcW w:w="2996" w:type="dxa"/>
            <w:gridSpan w:val="12"/>
            <w:shd w:val="clear" w:color="auto" w:fill="auto"/>
          </w:tcPr>
          <w:p w:rsidR="002C4F03" w:rsidRPr="00C645B7" w:rsidRDefault="002C4F03" w:rsidP="00CA35A9">
            <w:pPr>
              <w:spacing w:line="240" w:lineRule="auto"/>
              <w:jc w:val="center"/>
              <w:rPr>
                <w:color w:val="000000"/>
                <w:spacing w:val="-2"/>
              </w:rPr>
            </w:pPr>
            <w:r>
              <w:rPr>
                <w:color w:val="000000"/>
                <w:spacing w:val="-2"/>
              </w:rPr>
              <w:t>Polski Związek Przemysłu Motoryzacyjnego</w:t>
            </w:r>
          </w:p>
        </w:tc>
        <w:tc>
          <w:tcPr>
            <w:tcW w:w="2981" w:type="dxa"/>
            <w:gridSpan w:val="6"/>
            <w:shd w:val="clear" w:color="auto" w:fill="auto"/>
          </w:tcPr>
          <w:p w:rsidR="002C4F03" w:rsidRPr="00B37C80" w:rsidRDefault="002C4F03" w:rsidP="003801F9">
            <w:pPr>
              <w:spacing w:line="240" w:lineRule="auto"/>
              <w:jc w:val="both"/>
              <w:rPr>
                <w:color w:val="000000"/>
                <w:spacing w:val="-2"/>
              </w:rPr>
            </w:pPr>
            <w:r>
              <w:rPr>
                <w:color w:val="000000"/>
                <w:spacing w:val="-2"/>
              </w:rPr>
              <w:t>Bezpośrednie – poprzez wyposażenie pojazdów w tzw. wyposażenie dodatkowe używane podczas załadunku na pojazd.</w:t>
            </w:r>
          </w:p>
        </w:tc>
      </w:tr>
      <w:tr w:rsidR="002C4F03" w:rsidRPr="008B4FE6" w:rsidTr="007F619B">
        <w:trPr>
          <w:gridAfter w:val="1"/>
          <w:wAfter w:w="10" w:type="dxa"/>
          <w:trHeight w:val="142"/>
        </w:trPr>
        <w:tc>
          <w:tcPr>
            <w:tcW w:w="2668" w:type="dxa"/>
            <w:gridSpan w:val="3"/>
            <w:shd w:val="clear" w:color="auto" w:fill="auto"/>
            <w:vAlign w:val="center"/>
          </w:tcPr>
          <w:p w:rsidR="002C4F03" w:rsidRPr="00BF2F15" w:rsidRDefault="002C4F03" w:rsidP="00E92DEC">
            <w:pPr>
              <w:spacing w:line="240" w:lineRule="auto"/>
              <w:rPr>
                <w:color w:val="000000"/>
              </w:rPr>
            </w:pPr>
            <w:r>
              <w:rPr>
                <w:color w:val="000000"/>
              </w:rPr>
              <w:t>Główny Inspektor Transportu Drogowego</w:t>
            </w:r>
          </w:p>
        </w:tc>
        <w:tc>
          <w:tcPr>
            <w:tcW w:w="2292" w:type="dxa"/>
            <w:gridSpan w:val="8"/>
            <w:shd w:val="clear" w:color="auto" w:fill="auto"/>
            <w:vAlign w:val="center"/>
          </w:tcPr>
          <w:p w:rsidR="002C4F03" w:rsidRPr="00BF2F15" w:rsidRDefault="002C4F03" w:rsidP="007F619B">
            <w:pPr>
              <w:spacing w:line="240" w:lineRule="auto"/>
              <w:jc w:val="center"/>
              <w:rPr>
                <w:color w:val="000000"/>
                <w:spacing w:val="-2"/>
              </w:rPr>
            </w:pPr>
            <w:r>
              <w:rPr>
                <w:color w:val="000000"/>
                <w:spacing w:val="-2"/>
              </w:rPr>
              <w:t>1</w:t>
            </w:r>
          </w:p>
        </w:tc>
        <w:tc>
          <w:tcPr>
            <w:tcW w:w="2996" w:type="dxa"/>
            <w:gridSpan w:val="12"/>
            <w:shd w:val="clear" w:color="auto" w:fill="auto"/>
            <w:vAlign w:val="center"/>
          </w:tcPr>
          <w:p w:rsidR="002C4F03" w:rsidRPr="00BF2F15" w:rsidRDefault="002C4F03" w:rsidP="007F619B">
            <w:pPr>
              <w:spacing w:line="240" w:lineRule="auto"/>
              <w:jc w:val="center"/>
              <w:rPr>
                <w:color w:val="000000"/>
                <w:spacing w:val="-2"/>
              </w:rPr>
            </w:pPr>
            <w:r>
              <w:rPr>
                <w:color w:val="000000"/>
                <w:spacing w:val="-2"/>
              </w:rPr>
              <w:t>-</w:t>
            </w:r>
          </w:p>
        </w:tc>
        <w:tc>
          <w:tcPr>
            <w:tcW w:w="2981" w:type="dxa"/>
            <w:gridSpan w:val="6"/>
            <w:shd w:val="clear" w:color="auto" w:fill="auto"/>
            <w:vAlign w:val="center"/>
          </w:tcPr>
          <w:p w:rsidR="002C4F03" w:rsidRPr="00BF2F15" w:rsidRDefault="002C4F03" w:rsidP="00E92DEC">
            <w:pPr>
              <w:spacing w:line="240" w:lineRule="auto"/>
              <w:rPr>
                <w:color w:val="000000"/>
                <w:spacing w:val="-2"/>
              </w:rPr>
            </w:pPr>
            <w:r>
              <w:rPr>
                <w:color w:val="000000"/>
                <w:spacing w:val="-2"/>
              </w:rPr>
              <w:t xml:space="preserve">Bezpośrednie – sprawdzenie sposobu przewozu ładunków podczas kontroli na drodze. </w:t>
            </w:r>
          </w:p>
        </w:tc>
      </w:tr>
      <w:tr w:rsidR="002C4F03" w:rsidRPr="008B4FE6" w:rsidTr="00563B83">
        <w:trPr>
          <w:gridAfter w:val="1"/>
          <w:wAfter w:w="10" w:type="dxa"/>
          <w:trHeight w:val="142"/>
        </w:trPr>
        <w:tc>
          <w:tcPr>
            <w:tcW w:w="2668" w:type="dxa"/>
            <w:gridSpan w:val="3"/>
            <w:shd w:val="clear" w:color="auto" w:fill="auto"/>
          </w:tcPr>
          <w:p w:rsidR="002C4F03" w:rsidRPr="008B4FE6" w:rsidRDefault="002C4F03" w:rsidP="00A17DBB">
            <w:pPr>
              <w:spacing w:line="240" w:lineRule="auto"/>
              <w:rPr>
                <w:color w:val="000000"/>
                <w:spacing w:val="-2"/>
              </w:rPr>
            </w:pPr>
            <w:r>
              <w:rPr>
                <w:color w:val="000000"/>
                <w:spacing w:val="-2"/>
              </w:rPr>
              <w:t>Komenda Główna Policji</w:t>
            </w:r>
          </w:p>
        </w:tc>
        <w:tc>
          <w:tcPr>
            <w:tcW w:w="2292" w:type="dxa"/>
            <w:gridSpan w:val="8"/>
            <w:shd w:val="clear" w:color="auto" w:fill="auto"/>
            <w:vAlign w:val="center"/>
          </w:tcPr>
          <w:p w:rsidR="002C4F03" w:rsidRPr="00BF2F15" w:rsidRDefault="002C4F03" w:rsidP="00E2561A">
            <w:pPr>
              <w:spacing w:line="240" w:lineRule="auto"/>
              <w:jc w:val="center"/>
              <w:rPr>
                <w:color w:val="000000"/>
                <w:spacing w:val="-2"/>
              </w:rPr>
            </w:pPr>
            <w:r>
              <w:rPr>
                <w:color w:val="000000"/>
                <w:spacing w:val="-2"/>
              </w:rPr>
              <w:t>1</w:t>
            </w:r>
          </w:p>
        </w:tc>
        <w:tc>
          <w:tcPr>
            <w:tcW w:w="2996" w:type="dxa"/>
            <w:gridSpan w:val="12"/>
            <w:shd w:val="clear" w:color="auto" w:fill="auto"/>
            <w:vAlign w:val="center"/>
          </w:tcPr>
          <w:p w:rsidR="002C4F03" w:rsidRPr="00BF2F15" w:rsidRDefault="002C4F03" w:rsidP="00E2561A">
            <w:pPr>
              <w:spacing w:line="240" w:lineRule="auto"/>
              <w:jc w:val="center"/>
              <w:rPr>
                <w:color w:val="000000"/>
                <w:spacing w:val="-2"/>
              </w:rPr>
            </w:pPr>
            <w:r>
              <w:rPr>
                <w:color w:val="000000"/>
                <w:spacing w:val="-2"/>
              </w:rPr>
              <w:t>-</w:t>
            </w:r>
          </w:p>
        </w:tc>
        <w:tc>
          <w:tcPr>
            <w:tcW w:w="2981" w:type="dxa"/>
            <w:gridSpan w:val="6"/>
            <w:shd w:val="clear" w:color="auto" w:fill="auto"/>
          </w:tcPr>
          <w:p w:rsidR="002C4F03" w:rsidRPr="00B37C80" w:rsidRDefault="002C4F03" w:rsidP="000C768B">
            <w:pPr>
              <w:spacing w:line="240" w:lineRule="auto"/>
              <w:jc w:val="both"/>
              <w:rPr>
                <w:color w:val="000000"/>
                <w:spacing w:val="-2"/>
              </w:rPr>
            </w:pPr>
            <w:r>
              <w:rPr>
                <w:color w:val="000000"/>
                <w:spacing w:val="-2"/>
              </w:rPr>
              <w:t>Bezpośrednie – sprawdzenie sposobu przewozu ładunków podczas kontroli na drodze.</w:t>
            </w:r>
          </w:p>
        </w:tc>
      </w:tr>
      <w:tr w:rsidR="002C4F03" w:rsidRPr="008B4FE6" w:rsidTr="00676C8D">
        <w:trPr>
          <w:gridAfter w:val="1"/>
          <w:wAfter w:w="10" w:type="dxa"/>
          <w:trHeight w:val="142"/>
        </w:trPr>
        <w:tc>
          <w:tcPr>
            <w:tcW w:w="2668" w:type="dxa"/>
            <w:gridSpan w:val="3"/>
            <w:shd w:val="clear" w:color="auto" w:fill="auto"/>
          </w:tcPr>
          <w:p w:rsidR="002C4F03" w:rsidRPr="008B4FE6" w:rsidRDefault="002C4F03" w:rsidP="00E2561A">
            <w:pPr>
              <w:spacing w:line="240" w:lineRule="auto"/>
              <w:rPr>
                <w:color w:val="000000"/>
                <w:spacing w:val="-2"/>
              </w:rPr>
            </w:pPr>
            <w:r>
              <w:rPr>
                <w:color w:val="000000"/>
              </w:rPr>
              <w:t>Producenci pojazdów</w:t>
            </w:r>
          </w:p>
        </w:tc>
        <w:tc>
          <w:tcPr>
            <w:tcW w:w="2292" w:type="dxa"/>
            <w:gridSpan w:val="8"/>
            <w:shd w:val="clear" w:color="auto" w:fill="auto"/>
          </w:tcPr>
          <w:p w:rsidR="002C4F03" w:rsidRPr="00B37C80" w:rsidRDefault="002C4F03" w:rsidP="00E2561A">
            <w:pPr>
              <w:spacing w:line="240" w:lineRule="auto"/>
              <w:jc w:val="center"/>
              <w:rPr>
                <w:color w:val="000000"/>
                <w:spacing w:val="-2"/>
              </w:rPr>
            </w:pPr>
            <w:r>
              <w:rPr>
                <w:color w:val="000000"/>
                <w:spacing w:val="-2"/>
              </w:rPr>
              <w:t>45</w:t>
            </w:r>
          </w:p>
        </w:tc>
        <w:tc>
          <w:tcPr>
            <w:tcW w:w="2996" w:type="dxa"/>
            <w:gridSpan w:val="12"/>
            <w:shd w:val="clear" w:color="auto" w:fill="auto"/>
          </w:tcPr>
          <w:p w:rsidR="002C4F03" w:rsidRPr="004460F9" w:rsidRDefault="002C4F03" w:rsidP="00E2561A">
            <w:pPr>
              <w:spacing w:line="240" w:lineRule="auto"/>
            </w:pPr>
            <w:r w:rsidRPr="004460F9">
              <w:t>Polski Związek Przemysłu</w:t>
            </w:r>
          </w:p>
          <w:p w:rsidR="002C4F03" w:rsidRPr="004460F9" w:rsidRDefault="002C4F03" w:rsidP="00E2561A">
            <w:pPr>
              <w:spacing w:line="240" w:lineRule="auto"/>
              <w:rPr>
                <w:color w:val="000000"/>
                <w:spacing w:val="-2"/>
              </w:rPr>
            </w:pPr>
            <w:r w:rsidRPr="004460F9">
              <w:t>Motoryzacyjnego</w:t>
            </w:r>
          </w:p>
        </w:tc>
        <w:tc>
          <w:tcPr>
            <w:tcW w:w="2981" w:type="dxa"/>
            <w:gridSpan w:val="6"/>
            <w:shd w:val="clear" w:color="auto" w:fill="auto"/>
          </w:tcPr>
          <w:p w:rsidR="002C4F03" w:rsidRPr="00B37C80" w:rsidRDefault="002C4F03" w:rsidP="00B32591">
            <w:pPr>
              <w:spacing w:line="240" w:lineRule="auto"/>
              <w:jc w:val="both"/>
              <w:rPr>
                <w:color w:val="000000"/>
                <w:spacing w:val="-2"/>
              </w:rPr>
            </w:pPr>
            <w:r>
              <w:rPr>
                <w:color w:val="000000"/>
                <w:spacing w:val="-2"/>
              </w:rPr>
              <w:t xml:space="preserve">Bezpośrednie – zamontowanie niektórych </w:t>
            </w:r>
            <w:r>
              <w:t>urządzeń służących</w:t>
            </w:r>
            <w:r w:rsidRPr="00E16773">
              <w:t xml:space="preserve"> do mocowania ładunku</w:t>
            </w:r>
            <w:r>
              <w:t xml:space="preserve"> zgodnie z n</w:t>
            </w:r>
            <w:r>
              <w:rPr>
                <w:color w:val="000000"/>
                <w:spacing w:val="-2"/>
              </w:rPr>
              <w:t>owymi wymaganiami określonymi w rozporządzeniu.</w:t>
            </w:r>
          </w:p>
        </w:tc>
      </w:tr>
      <w:tr w:rsidR="002C4F03" w:rsidRPr="008B4FE6" w:rsidTr="00676C8D">
        <w:trPr>
          <w:gridAfter w:val="1"/>
          <w:wAfter w:w="10" w:type="dxa"/>
          <w:trHeight w:val="302"/>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8B4FE6">
              <w:rPr>
                <w:b/>
                <w:color w:val="000000"/>
              </w:rPr>
              <w:t>Informacje na temat</w:t>
            </w:r>
            <w:r>
              <w:rPr>
                <w:b/>
                <w:color w:val="000000"/>
              </w:rPr>
              <w:t xml:space="preserve"> zakresu, czasu trwania i podsumowanie wyników </w:t>
            </w:r>
            <w:r w:rsidRPr="008B4FE6">
              <w:rPr>
                <w:b/>
                <w:color w:val="000000"/>
              </w:rPr>
              <w:t>konsultacji</w:t>
            </w:r>
          </w:p>
        </w:tc>
      </w:tr>
      <w:tr w:rsidR="002C4F03" w:rsidRPr="008B4FE6" w:rsidTr="00676C8D">
        <w:trPr>
          <w:gridAfter w:val="1"/>
          <w:wAfter w:w="10" w:type="dxa"/>
          <w:trHeight w:val="342"/>
        </w:trPr>
        <w:tc>
          <w:tcPr>
            <w:tcW w:w="10937" w:type="dxa"/>
            <w:gridSpan w:val="29"/>
            <w:shd w:val="clear" w:color="auto" w:fill="FFFFFF"/>
          </w:tcPr>
          <w:p w:rsidR="002C4F03" w:rsidRDefault="002C4F03" w:rsidP="00B37C80">
            <w:pPr>
              <w:spacing w:line="240" w:lineRule="auto"/>
              <w:jc w:val="both"/>
              <w:rPr>
                <w:color w:val="000000"/>
                <w:spacing w:val="-2"/>
              </w:rPr>
            </w:pPr>
          </w:p>
          <w:p w:rsidR="002C4F03" w:rsidRPr="009129B7" w:rsidRDefault="002C4F03" w:rsidP="00B37C80">
            <w:pPr>
              <w:spacing w:line="240" w:lineRule="auto"/>
              <w:jc w:val="both"/>
            </w:pPr>
            <w:r w:rsidRPr="009129B7">
              <w:t xml:space="preserve">Projekt rozporządzenia </w:t>
            </w:r>
            <w:r>
              <w:t xml:space="preserve">został przesłany do </w:t>
            </w:r>
            <w:r w:rsidRPr="009129B7">
              <w:t>konsultacj</w:t>
            </w:r>
            <w:r>
              <w:t>i</w:t>
            </w:r>
            <w:r w:rsidRPr="009129B7">
              <w:t xml:space="preserve"> </w:t>
            </w:r>
            <w:r>
              <w:t>publi</w:t>
            </w:r>
            <w:r w:rsidRPr="009129B7">
              <w:t>czny</w:t>
            </w:r>
            <w:r>
              <w:t>ch</w:t>
            </w:r>
            <w:r w:rsidRPr="009129B7">
              <w:t xml:space="preserve"> </w:t>
            </w:r>
            <w:r>
              <w:t>do</w:t>
            </w:r>
            <w:r w:rsidRPr="009129B7">
              <w:t xml:space="preserve"> </w:t>
            </w:r>
            <w:r>
              <w:t>następujących podmiotów</w:t>
            </w:r>
            <w:r w:rsidRPr="009129B7">
              <w:t>:</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Polski Związek Przemysłu Motoryzacyjnego,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Polska Izba Stacji Kontroli Pojazdów,</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Ogólnopolskie Stowarzyszenie Diagnostów Samochodowych,</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Ogólnopolskie Stowarzyszenie Szefów Wydziałów Komunikacji,</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Instytut Transportu Samochodowego,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Przemysłowy Instytut Motoryzacji,</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Instytut Badawczy Dróg i Mostów,</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Transportowy Dozór Techniczny,</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Instytut T</w:t>
            </w:r>
            <w:r>
              <w:rPr>
                <w:rFonts w:ascii="Times New Roman" w:hAnsi="Times New Roman"/>
              </w:rPr>
              <w:t>echnologiczno-Przyrodniczy - Oddział Kłudzienko,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Polska Izba Gospodarcza Transportu Samochodowego i Spedycji,</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Zrzeszenie Międzynarodowych Przewoźników Drogowych w Polsce,</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Ogólnopolski Związek Pracodawców Transportu Drogowego,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Izba Gospodarcza Transportu Lądowego,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Związek Pracodawców Motoryzacji,</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Inżynierów i Techników Mechaników Polskich (SIMP), Warszawa,</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Krajowe Porozumienie Stowarzyszeń Rzeczoznawców Samochodowych,</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Związek Dealerów Samochodów,</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Ogólnopolskie Stowarzyszenie Pracodawców Transportu Nienormatywnego,</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Producentów Części Motoryzacyjnych (SPCM),</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Doradców ds. Transportu Towarów Niebezpiecznych – S-DGSA,</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Europejskie Stowarzyszenie Doradców ADR,</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Europejskie Stowarzyszenie na Rzecz Bezpieczeństwa Operacji Transportowych – ETOS,</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Inżynierów i Techników Komunikacji RP (SITK RP), Warszawa,</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Instytut Badań i Rozwoju Motoryzacji BOSMAL,</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Polski Związek Motorowy – Zarząd Główny,</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Dystrybutorów i Producentów Części Motoryzacyjnych (SDCM),</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MOVEO Organizacja Pracodawców Motoryzacyjnych,</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Club Antycznych Automobili i Rajdów (CAAR),</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Związek Pracodawców Branży Motoryzacyjnej,</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Transport i Logistyka Polska,</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lastRenderedPageBreak/>
              <w:t>Uniwersytet Warmińsko – Mazurski w Olsztynie, Wydział Nauk Technicznych,</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Główny Inspektorat Transportu Drogowego,</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 xml:space="preserve">Rada Dialogu Społecznego,  </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Stowarzyszenie Rzeczoznawców Techniki Samochodowej i Ruchu Drogowego EKSPERTMOT,</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proofErr w:type="spellStart"/>
            <w:r w:rsidRPr="00EB33CA">
              <w:rPr>
                <w:rFonts w:ascii="Times New Roman" w:hAnsi="Times New Roman"/>
              </w:rPr>
              <w:t>Dekra</w:t>
            </w:r>
            <w:proofErr w:type="spellEnd"/>
            <w:r w:rsidRPr="00EB33CA">
              <w:rPr>
                <w:rFonts w:ascii="Times New Roman" w:hAnsi="Times New Roman"/>
              </w:rPr>
              <w:t xml:space="preserve"> Polska,</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EB33CA">
              <w:rPr>
                <w:rFonts w:ascii="Times New Roman" w:hAnsi="Times New Roman"/>
              </w:rPr>
              <w:t xml:space="preserve">Generalna Dyrekcja Dróg Krajowych i Autostrad (GDDKiA),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90453A">
              <w:rPr>
                <w:rFonts w:ascii="Times New Roman" w:hAnsi="Times New Roman"/>
              </w:rPr>
              <w:t>Stowarzyszenie na Rzecz Poprawy Bezpieczeństwa w Transporcie Drogowym „Akademia Mocowania”</w:t>
            </w:r>
            <w:r>
              <w:rPr>
                <w:rFonts w:ascii="Times New Roman" w:hAnsi="Times New Roman"/>
              </w:rPr>
              <w:t xml:space="preserve">,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90453A">
              <w:rPr>
                <w:rFonts w:ascii="Times New Roman" w:hAnsi="Times New Roman"/>
              </w:rPr>
              <w:t>Stowarzyszenie Uczestników Rynku Komunikacji Samochodowej i Transpor</w:t>
            </w:r>
            <w:r>
              <w:rPr>
                <w:rFonts w:ascii="Times New Roman" w:hAnsi="Times New Roman"/>
              </w:rPr>
              <w:t xml:space="preserve">tu Drogowego „Najlepsza Droga”, </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sidRPr="0090453A">
              <w:rPr>
                <w:rFonts w:ascii="Times New Roman" w:hAnsi="Times New Roman"/>
              </w:rPr>
              <w:t>Instytut Naukowy „</w:t>
            </w:r>
            <w:proofErr w:type="spellStart"/>
            <w:r w:rsidRPr="0090453A">
              <w:rPr>
                <w:rFonts w:ascii="Times New Roman" w:hAnsi="Times New Roman"/>
              </w:rPr>
              <w:t>Lo</w:t>
            </w:r>
            <w:r>
              <w:rPr>
                <w:rFonts w:ascii="Times New Roman" w:hAnsi="Times New Roman"/>
              </w:rPr>
              <w:t>gistic</w:t>
            </w:r>
            <w:proofErr w:type="spellEnd"/>
            <w:r>
              <w:rPr>
                <w:rFonts w:ascii="Times New Roman" w:hAnsi="Times New Roman"/>
              </w:rPr>
              <w:t xml:space="preserve"> Technologies Sp. z o.o.”,</w:t>
            </w:r>
          </w:p>
          <w:p w:rsidR="002C4F03" w:rsidRDefault="002C4F03" w:rsidP="002C4F03">
            <w:pPr>
              <w:pStyle w:val="Akapitzlist"/>
              <w:numPr>
                <w:ilvl w:val="0"/>
                <w:numId w:val="48"/>
              </w:numPr>
              <w:autoSpaceDE w:val="0"/>
              <w:autoSpaceDN w:val="0"/>
              <w:adjustRightInd w:val="0"/>
              <w:spacing w:after="0" w:line="240" w:lineRule="auto"/>
              <w:rPr>
                <w:rFonts w:ascii="Times New Roman" w:hAnsi="Times New Roman"/>
              </w:rPr>
            </w:pPr>
            <w:r>
              <w:rPr>
                <w:rFonts w:ascii="Times New Roman" w:hAnsi="Times New Roman"/>
              </w:rPr>
              <w:t>Związek Pracodawców Motoryzacji i Artykułów Przemysłowych.</w:t>
            </w:r>
          </w:p>
          <w:p w:rsidR="002C4F03" w:rsidRPr="0090453A" w:rsidRDefault="002C4F03" w:rsidP="00A05AA0">
            <w:pPr>
              <w:pStyle w:val="Akapitzlist"/>
              <w:autoSpaceDE w:val="0"/>
              <w:autoSpaceDN w:val="0"/>
              <w:adjustRightInd w:val="0"/>
              <w:spacing w:line="240" w:lineRule="auto"/>
              <w:rPr>
                <w:rFonts w:ascii="Times New Roman" w:hAnsi="Times New Roman"/>
              </w:rPr>
            </w:pPr>
          </w:p>
          <w:p w:rsidR="002C4F03" w:rsidRPr="009129B7" w:rsidRDefault="002C4F03" w:rsidP="00A05AA0">
            <w:pPr>
              <w:spacing w:line="240" w:lineRule="auto"/>
              <w:jc w:val="both"/>
            </w:pPr>
            <w:r w:rsidRPr="009129B7">
              <w:t xml:space="preserve">Projekt rozporządzenia </w:t>
            </w:r>
            <w:r>
              <w:t xml:space="preserve">został </w:t>
            </w:r>
            <w:r w:rsidRPr="009129B7">
              <w:t xml:space="preserve">udostępniony w Biuletynie Informacji Publicznej na stronie </w:t>
            </w:r>
            <w:r>
              <w:t xml:space="preserve">podmiotowej </w:t>
            </w:r>
            <w:r w:rsidRPr="009129B7">
              <w:t>Rządowego Centrum Legislacji</w:t>
            </w:r>
            <w:r>
              <w:t xml:space="preserve">, w serwisie Rządowy Proces Legislacyjny. Termin na zgłoszenie uwag wyniósł 14 dni.  </w:t>
            </w:r>
          </w:p>
          <w:p w:rsidR="002C4F03" w:rsidRPr="00B37C80" w:rsidRDefault="002C4F03" w:rsidP="00B37C80">
            <w:pPr>
              <w:spacing w:line="240" w:lineRule="auto"/>
              <w:jc w:val="both"/>
              <w:rPr>
                <w:color w:val="000000"/>
                <w:spacing w:val="-2"/>
              </w:rPr>
            </w:pPr>
          </w:p>
        </w:tc>
      </w:tr>
      <w:tr w:rsidR="002C4F03" w:rsidRPr="008B4FE6" w:rsidTr="00676C8D">
        <w:trPr>
          <w:gridAfter w:val="1"/>
          <w:wAfter w:w="10" w:type="dxa"/>
          <w:trHeight w:val="363"/>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8B4FE6">
              <w:rPr>
                <w:b/>
                <w:color w:val="000000"/>
              </w:rPr>
              <w:lastRenderedPageBreak/>
              <w:t xml:space="preserve"> Wpływ na sektor finansów publicznych</w:t>
            </w:r>
          </w:p>
        </w:tc>
      </w:tr>
      <w:tr w:rsidR="002C4F03" w:rsidRPr="008B4FE6" w:rsidTr="00676C8D">
        <w:trPr>
          <w:gridAfter w:val="1"/>
          <w:wAfter w:w="10" w:type="dxa"/>
          <w:trHeight w:val="142"/>
        </w:trPr>
        <w:tc>
          <w:tcPr>
            <w:tcW w:w="3133" w:type="dxa"/>
            <w:gridSpan w:val="4"/>
            <w:vMerge w:val="restart"/>
            <w:shd w:val="clear" w:color="auto" w:fill="FFFFFF"/>
          </w:tcPr>
          <w:p w:rsidR="002C4F03" w:rsidRPr="00C53F26" w:rsidRDefault="002C4F03" w:rsidP="00821717">
            <w:pPr>
              <w:spacing w:before="40" w:after="40"/>
              <w:rPr>
                <w:i/>
                <w:color w:val="000000"/>
                <w:sz w:val="21"/>
                <w:szCs w:val="21"/>
              </w:rPr>
            </w:pPr>
            <w:r w:rsidRPr="006F78C4">
              <w:rPr>
                <w:color w:val="000000"/>
                <w:sz w:val="21"/>
                <w:szCs w:val="21"/>
              </w:rPr>
              <w:t xml:space="preserve">(ceny </w:t>
            </w:r>
            <w:r>
              <w:rPr>
                <w:color w:val="000000"/>
                <w:sz w:val="21"/>
                <w:szCs w:val="21"/>
              </w:rPr>
              <w:t>stałe</w:t>
            </w:r>
            <w:r w:rsidRPr="006F78C4">
              <w:rPr>
                <w:color w:val="000000"/>
                <w:sz w:val="21"/>
                <w:szCs w:val="21"/>
              </w:rPr>
              <w:t xml:space="preserve"> z …… r.)</w:t>
            </w:r>
          </w:p>
        </w:tc>
        <w:tc>
          <w:tcPr>
            <w:tcW w:w="7804" w:type="dxa"/>
            <w:gridSpan w:val="25"/>
            <w:shd w:val="clear" w:color="auto" w:fill="FFFFFF"/>
          </w:tcPr>
          <w:p w:rsidR="002C4F03" w:rsidRPr="00C53F26" w:rsidRDefault="002C4F03" w:rsidP="00260F33">
            <w:pPr>
              <w:spacing w:before="40" w:after="40" w:line="240" w:lineRule="auto"/>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2C4F03" w:rsidRPr="008B4FE6" w:rsidTr="00676C8D">
        <w:trPr>
          <w:gridAfter w:val="1"/>
          <w:wAfter w:w="10" w:type="dxa"/>
          <w:trHeight w:val="142"/>
        </w:trPr>
        <w:tc>
          <w:tcPr>
            <w:tcW w:w="3133" w:type="dxa"/>
            <w:gridSpan w:val="4"/>
            <w:vMerge/>
            <w:shd w:val="clear" w:color="auto" w:fill="FFFFFF"/>
          </w:tcPr>
          <w:p w:rsidR="002C4F03" w:rsidRPr="00C53F26" w:rsidRDefault="002C4F03" w:rsidP="00A52ADB">
            <w:pPr>
              <w:spacing w:before="40" w:after="40" w:line="240" w:lineRule="auto"/>
              <w:rPr>
                <w:i/>
                <w:color w:val="000000"/>
                <w:sz w:val="21"/>
                <w:szCs w:val="21"/>
              </w:rPr>
            </w:pPr>
          </w:p>
        </w:tc>
        <w:tc>
          <w:tcPr>
            <w:tcW w:w="569"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0</w:t>
            </w:r>
          </w:p>
        </w:tc>
        <w:tc>
          <w:tcPr>
            <w:tcW w:w="570"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1</w:t>
            </w:r>
          </w:p>
        </w:tc>
        <w:tc>
          <w:tcPr>
            <w:tcW w:w="570"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2</w:t>
            </w:r>
          </w:p>
        </w:tc>
        <w:tc>
          <w:tcPr>
            <w:tcW w:w="569" w:type="dxa"/>
            <w:gridSpan w:val="3"/>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3</w:t>
            </w:r>
          </w:p>
        </w:tc>
        <w:tc>
          <w:tcPr>
            <w:tcW w:w="570"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4</w:t>
            </w:r>
          </w:p>
        </w:tc>
        <w:tc>
          <w:tcPr>
            <w:tcW w:w="570" w:type="dxa"/>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5</w:t>
            </w:r>
          </w:p>
        </w:tc>
        <w:tc>
          <w:tcPr>
            <w:tcW w:w="570" w:type="dxa"/>
            <w:gridSpan w:val="3"/>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6</w:t>
            </w:r>
          </w:p>
        </w:tc>
        <w:tc>
          <w:tcPr>
            <w:tcW w:w="569" w:type="dxa"/>
            <w:gridSpan w:val="3"/>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7</w:t>
            </w:r>
          </w:p>
        </w:tc>
        <w:tc>
          <w:tcPr>
            <w:tcW w:w="570"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8</w:t>
            </w:r>
          </w:p>
        </w:tc>
        <w:tc>
          <w:tcPr>
            <w:tcW w:w="570" w:type="dxa"/>
            <w:gridSpan w:val="2"/>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9</w:t>
            </w:r>
          </w:p>
        </w:tc>
        <w:tc>
          <w:tcPr>
            <w:tcW w:w="570" w:type="dxa"/>
            <w:shd w:val="clear" w:color="auto" w:fill="FFFFFF"/>
          </w:tcPr>
          <w:p w:rsidR="002C4F03" w:rsidRPr="00C53F26" w:rsidRDefault="002C4F03" w:rsidP="001D6A3C">
            <w:pPr>
              <w:spacing w:line="240" w:lineRule="auto"/>
              <w:jc w:val="center"/>
              <w:rPr>
                <w:color w:val="000000"/>
                <w:sz w:val="21"/>
                <w:szCs w:val="21"/>
              </w:rPr>
            </w:pPr>
            <w:r w:rsidRPr="00C53F26">
              <w:rPr>
                <w:color w:val="000000"/>
                <w:sz w:val="21"/>
                <w:szCs w:val="21"/>
              </w:rPr>
              <w:t>10</w:t>
            </w:r>
          </w:p>
        </w:tc>
        <w:tc>
          <w:tcPr>
            <w:tcW w:w="1537" w:type="dxa"/>
            <w:gridSpan w:val="2"/>
            <w:shd w:val="clear" w:color="auto" w:fill="FFFFFF"/>
          </w:tcPr>
          <w:p w:rsidR="002C4F03" w:rsidRPr="00C53F26" w:rsidRDefault="002C4F03" w:rsidP="00A52ADB">
            <w:pPr>
              <w:spacing w:before="40" w:after="40" w:line="240" w:lineRule="auto"/>
              <w:jc w:val="center"/>
              <w:rPr>
                <w:i/>
                <w:color w:val="000000"/>
                <w:spacing w:val="-2"/>
                <w:sz w:val="21"/>
                <w:szCs w:val="21"/>
              </w:rPr>
            </w:pPr>
            <w:r w:rsidRPr="00C53F26">
              <w:rPr>
                <w:i/>
                <w:color w:val="000000"/>
                <w:spacing w:val="-2"/>
                <w:sz w:val="21"/>
                <w:szCs w:val="21"/>
              </w:rPr>
              <w:t>Łącznie</w:t>
            </w:r>
            <w:r>
              <w:rPr>
                <w:i/>
                <w:color w:val="000000"/>
                <w:spacing w:val="-2"/>
                <w:sz w:val="21"/>
                <w:szCs w:val="21"/>
              </w:rPr>
              <w:t xml:space="preserve"> (0-10)</w:t>
            </w:r>
          </w:p>
        </w:tc>
      </w:tr>
      <w:tr w:rsidR="002C4F03" w:rsidRPr="008B4FE6" w:rsidTr="00676C8D">
        <w:trPr>
          <w:trHeight w:val="321"/>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b/>
                <w:color w:val="000000"/>
                <w:sz w:val="21"/>
                <w:szCs w:val="21"/>
              </w:rPr>
              <w:t>Dochody ogółem</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pacing w:val="-2"/>
                <w:sz w:val="21"/>
                <w:szCs w:val="21"/>
              </w:rPr>
            </w:pPr>
          </w:p>
        </w:tc>
      </w:tr>
      <w:tr w:rsidR="002C4F03" w:rsidRPr="008B4FE6" w:rsidTr="00676C8D">
        <w:trPr>
          <w:trHeight w:val="321"/>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pacing w:val="-2"/>
                <w:sz w:val="21"/>
                <w:szCs w:val="21"/>
              </w:rPr>
            </w:pPr>
          </w:p>
        </w:tc>
      </w:tr>
      <w:tr w:rsidR="002C4F03" w:rsidRPr="008B4FE6" w:rsidTr="00676C8D">
        <w:trPr>
          <w:trHeight w:val="344"/>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69" w:type="dxa"/>
            <w:gridSpan w:val="3"/>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shd w:val="clear" w:color="auto" w:fill="FFFFFF"/>
          </w:tcPr>
          <w:p w:rsidR="002C4F03" w:rsidRPr="00B37C80" w:rsidRDefault="002C4F03" w:rsidP="000B54FB">
            <w:pPr>
              <w:spacing w:line="240" w:lineRule="auto"/>
              <w:rPr>
                <w:color w:val="000000"/>
                <w:sz w:val="21"/>
                <w:szCs w:val="21"/>
              </w:rPr>
            </w:pPr>
          </w:p>
        </w:tc>
        <w:tc>
          <w:tcPr>
            <w:tcW w:w="570" w:type="dxa"/>
            <w:gridSpan w:val="3"/>
            <w:shd w:val="clear" w:color="auto" w:fill="FFFFFF"/>
          </w:tcPr>
          <w:p w:rsidR="002C4F03" w:rsidRPr="00B37C80" w:rsidRDefault="002C4F03" w:rsidP="000B54FB">
            <w:pPr>
              <w:spacing w:line="240" w:lineRule="auto"/>
              <w:rPr>
                <w:color w:val="000000"/>
                <w:sz w:val="21"/>
                <w:szCs w:val="21"/>
              </w:rPr>
            </w:pPr>
          </w:p>
        </w:tc>
        <w:tc>
          <w:tcPr>
            <w:tcW w:w="569" w:type="dxa"/>
            <w:gridSpan w:val="3"/>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shd w:val="clear" w:color="auto" w:fill="FFFFFF"/>
          </w:tcPr>
          <w:p w:rsidR="002C4F03" w:rsidRPr="00B37C80" w:rsidRDefault="002C4F03" w:rsidP="000B54FB">
            <w:pPr>
              <w:spacing w:line="240" w:lineRule="auto"/>
              <w:rPr>
                <w:color w:val="000000"/>
                <w:sz w:val="21"/>
                <w:szCs w:val="21"/>
              </w:rPr>
            </w:pPr>
          </w:p>
        </w:tc>
        <w:tc>
          <w:tcPr>
            <w:tcW w:w="1547" w:type="dxa"/>
            <w:gridSpan w:val="3"/>
            <w:shd w:val="clear" w:color="auto" w:fill="FFFFFF"/>
          </w:tcPr>
          <w:p w:rsidR="002C4F03" w:rsidRPr="00B37C80" w:rsidRDefault="002C4F03" w:rsidP="000B54FB">
            <w:pPr>
              <w:spacing w:line="240" w:lineRule="auto"/>
              <w:rPr>
                <w:color w:val="000000"/>
                <w:sz w:val="21"/>
                <w:szCs w:val="21"/>
              </w:rPr>
            </w:pPr>
          </w:p>
        </w:tc>
      </w:tr>
      <w:tr w:rsidR="002C4F03" w:rsidRPr="008B4FE6" w:rsidTr="00676C8D">
        <w:trPr>
          <w:trHeight w:val="344"/>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69" w:type="dxa"/>
            <w:gridSpan w:val="3"/>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shd w:val="clear" w:color="auto" w:fill="FFFFFF"/>
          </w:tcPr>
          <w:p w:rsidR="002C4F03" w:rsidRPr="00B37C80" w:rsidRDefault="002C4F03" w:rsidP="000B54FB">
            <w:pPr>
              <w:spacing w:line="240" w:lineRule="auto"/>
              <w:rPr>
                <w:color w:val="000000"/>
                <w:sz w:val="21"/>
                <w:szCs w:val="21"/>
              </w:rPr>
            </w:pPr>
          </w:p>
        </w:tc>
        <w:tc>
          <w:tcPr>
            <w:tcW w:w="570" w:type="dxa"/>
            <w:gridSpan w:val="3"/>
            <w:shd w:val="clear" w:color="auto" w:fill="FFFFFF"/>
          </w:tcPr>
          <w:p w:rsidR="002C4F03" w:rsidRPr="00B37C80" w:rsidRDefault="002C4F03" w:rsidP="000B54FB">
            <w:pPr>
              <w:spacing w:line="240" w:lineRule="auto"/>
              <w:rPr>
                <w:color w:val="000000"/>
                <w:sz w:val="21"/>
                <w:szCs w:val="21"/>
              </w:rPr>
            </w:pPr>
          </w:p>
        </w:tc>
        <w:tc>
          <w:tcPr>
            <w:tcW w:w="569" w:type="dxa"/>
            <w:gridSpan w:val="3"/>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gridSpan w:val="2"/>
            <w:shd w:val="clear" w:color="auto" w:fill="FFFFFF"/>
          </w:tcPr>
          <w:p w:rsidR="002C4F03" w:rsidRPr="00B37C80" w:rsidRDefault="002C4F03" w:rsidP="000B54FB">
            <w:pPr>
              <w:spacing w:line="240" w:lineRule="auto"/>
              <w:rPr>
                <w:color w:val="000000"/>
                <w:sz w:val="21"/>
                <w:szCs w:val="21"/>
              </w:rPr>
            </w:pPr>
          </w:p>
        </w:tc>
        <w:tc>
          <w:tcPr>
            <w:tcW w:w="570" w:type="dxa"/>
            <w:shd w:val="clear" w:color="auto" w:fill="FFFFFF"/>
          </w:tcPr>
          <w:p w:rsidR="002C4F03" w:rsidRPr="00B37C80" w:rsidRDefault="002C4F03" w:rsidP="000B54FB">
            <w:pPr>
              <w:spacing w:line="240" w:lineRule="auto"/>
              <w:rPr>
                <w:color w:val="000000"/>
                <w:sz w:val="21"/>
                <w:szCs w:val="21"/>
              </w:rPr>
            </w:pPr>
          </w:p>
        </w:tc>
        <w:tc>
          <w:tcPr>
            <w:tcW w:w="1547" w:type="dxa"/>
            <w:gridSpan w:val="3"/>
            <w:shd w:val="clear" w:color="auto" w:fill="FFFFFF"/>
          </w:tcPr>
          <w:p w:rsidR="002C4F03" w:rsidRPr="00B37C80" w:rsidRDefault="002C4F03" w:rsidP="000B54FB">
            <w:pPr>
              <w:spacing w:line="240" w:lineRule="auto"/>
              <w:rPr>
                <w:color w:val="000000"/>
                <w:sz w:val="21"/>
                <w:szCs w:val="21"/>
              </w:rPr>
            </w:pPr>
          </w:p>
        </w:tc>
      </w:tr>
      <w:tr w:rsidR="002C4F03" w:rsidRPr="008B4FE6" w:rsidTr="00676C8D">
        <w:trPr>
          <w:trHeight w:val="330"/>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b/>
                <w:color w:val="000000"/>
                <w:sz w:val="21"/>
                <w:szCs w:val="21"/>
              </w:rPr>
              <w:t>Wydatki ogółem</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30"/>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51"/>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51"/>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60"/>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b/>
                <w:color w:val="000000"/>
                <w:sz w:val="21"/>
                <w:szCs w:val="21"/>
              </w:rPr>
              <w:t>Saldo ogółem</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60"/>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57"/>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trHeight w:val="357"/>
        </w:trPr>
        <w:tc>
          <w:tcPr>
            <w:tcW w:w="3133" w:type="dxa"/>
            <w:gridSpan w:val="4"/>
            <w:shd w:val="clear" w:color="auto" w:fill="FFFFFF"/>
            <w:vAlign w:val="center"/>
          </w:tcPr>
          <w:p w:rsidR="002C4F03" w:rsidRPr="00C53F26" w:rsidRDefault="002C4F03" w:rsidP="00C53F26">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570" w:type="dxa"/>
            <w:gridSpan w:val="3"/>
            <w:shd w:val="clear" w:color="auto" w:fill="FFFFFF"/>
          </w:tcPr>
          <w:p w:rsidR="002C4F03" w:rsidRPr="00B37C80" w:rsidRDefault="002C4F03" w:rsidP="009107FD">
            <w:pPr>
              <w:spacing w:line="240" w:lineRule="auto"/>
              <w:rPr>
                <w:color w:val="000000"/>
                <w:sz w:val="21"/>
                <w:szCs w:val="21"/>
              </w:rPr>
            </w:pPr>
          </w:p>
        </w:tc>
        <w:tc>
          <w:tcPr>
            <w:tcW w:w="569" w:type="dxa"/>
            <w:gridSpan w:val="3"/>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gridSpan w:val="2"/>
            <w:shd w:val="clear" w:color="auto" w:fill="FFFFFF"/>
          </w:tcPr>
          <w:p w:rsidR="002C4F03" w:rsidRPr="00B37C80" w:rsidRDefault="002C4F03" w:rsidP="009107FD">
            <w:pPr>
              <w:spacing w:line="240" w:lineRule="auto"/>
              <w:rPr>
                <w:color w:val="000000"/>
                <w:sz w:val="21"/>
                <w:szCs w:val="21"/>
              </w:rPr>
            </w:pPr>
          </w:p>
        </w:tc>
        <w:tc>
          <w:tcPr>
            <w:tcW w:w="570" w:type="dxa"/>
            <w:shd w:val="clear" w:color="auto" w:fill="FFFFFF"/>
          </w:tcPr>
          <w:p w:rsidR="002C4F03" w:rsidRPr="00B37C80" w:rsidRDefault="002C4F03" w:rsidP="009107FD">
            <w:pPr>
              <w:spacing w:line="240" w:lineRule="auto"/>
              <w:rPr>
                <w:color w:val="000000"/>
                <w:sz w:val="21"/>
                <w:szCs w:val="21"/>
              </w:rPr>
            </w:pPr>
          </w:p>
        </w:tc>
        <w:tc>
          <w:tcPr>
            <w:tcW w:w="1547" w:type="dxa"/>
            <w:gridSpan w:val="3"/>
            <w:shd w:val="clear" w:color="auto" w:fill="FFFFFF"/>
          </w:tcPr>
          <w:p w:rsidR="002C4F03" w:rsidRPr="00B37C80" w:rsidRDefault="002C4F03" w:rsidP="009107FD">
            <w:pPr>
              <w:spacing w:line="240" w:lineRule="auto"/>
              <w:rPr>
                <w:color w:val="000000"/>
                <w:sz w:val="21"/>
                <w:szCs w:val="21"/>
              </w:rPr>
            </w:pPr>
          </w:p>
        </w:tc>
      </w:tr>
      <w:tr w:rsidR="002C4F03" w:rsidRPr="008B4FE6" w:rsidTr="00676C8D">
        <w:trPr>
          <w:gridAfter w:val="1"/>
          <w:wAfter w:w="10" w:type="dxa"/>
          <w:trHeight w:val="348"/>
        </w:trPr>
        <w:tc>
          <w:tcPr>
            <w:tcW w:w="2243" w:type="dxa"/>
            <w:gridSpan w:val="2"/>
            <w:shd w:val="clear" w:color="auto" w:fill="FFFFFF"/>
            <w:vAlign w:val="center"/>
          </w:tcPr>
          <w:p w:rsidR="002C4F03" w:rsidRPr="00C53F26" w:rsidRDefault="002C4F03" w:rsidP="005741EE">
            <w:pPr>
              <w:spacing w:line="240" w:lineRule="auto"/>
              <w:rPr>
                <w:color w:val="000000"/>
                <w:sz w:val="21"/>
                <w:szCs w:val="21"/>
              </w:rPr>
            </w:pPr>
            <w:r w:rsidRPr="00C53F26">
              <w:rPr>
                <w:color w:val="000000"/>
                <w:sz w:val="21"/>
                <w:szCs w:val="21"/>
              </w:rPr>
              <w:t xml:space="preserve">Źródła finansowania </w:t>
            </w:r>
          </w:p>
        </w:tc>
        <w:tc>
          <w:tcPr>
            <w:tcW w:w="8694" w:type="dxa"/>
            <w:gridSpan w:val="27"/>
            <w:shd w:val="clear" w:color="auto" w:fill="FFFFFF"/>
            <w:vAlign w:val="center"/>
          </w:tcPr>
          <w:p w:rsidR="002C4F03" w:rsidRPr="00B37C80" w:rsidRDefault="002C4F03" w:rsidP="00B37C80">
            <w:pPr>
              <w:spacing w:line="240" w:lineRule="auto"/>
              <w:jc w:val="both"/>
              <w:rPr>
                <w:color w:val="000000"/>
                <w:sz w:val="21"/>
                <w:szCs w:val="21"/>
              </w:rPr>
            </w:pPr>
          </w:p>
          <w:p w:rsidR="002C4F03" w:rsidRPr="00B37C80" w:rsidRDefault="002C4F03" w:rsidP="00B37C80">
            <w:pPr>
              <w:spacing w:line="240" w:lineRule="auto"/>
              <w:jc w:val="both"/>
              <w:rPr>
                <w:color w:val="000000"/>
                <w:sz w:val="21"/>
                <w:szCs w:val="21"/>
              </w:rPr>
            </w:pPr>
          </w:p>
          <w:p w:rsidR="002C4F03" w:rsidRPr="00B37C80" w:rsidRDefault="002C4F03" w:rsidP="00B37C80">
            <w:pPr>
              <w:spacing w:line="240" w:lineRule="auto"/>
              <w:jc w:val="both"/>
              <w:rPr>
                <w:color w:val="000000"/>
                <w:sz w:val="21"/>
                <w:szCs w:val="21"/>
              </w:rPr>
            </w:pPr>
          </w:p>
        </w:tc>
      </w:tr>
      <w:tr w:rsidR="002C4F03" w:rsidRPr="008B4FE6" w:rsidTr="00676C8D">
        <w:trPr>
          <w:gridAfter w:val="1"/>
          <w:wAfter w:w="10" w:type="dxa"/>
          <w:trHeight w:val="1926"/>
        </w:trPr>
        <w:tc>
          <w:tcPr>
            <w:tcW w:w="2243" w:type="dxa"/>
            <w:gridSpan w:val="2"/>
            <w:shd w:val="clear" w:color="auto" w:fill="FFFFFF"/>
          </w:tcPr>
          <w:p w:rsidR="002C4F03" w:rsidRPr="00C53F26" w:rsidRDefault="002C4F03" w:rsidP="00821717">
            <w:pPr>
              <w:spacing w:line="240" w:lineRule="auto"/>
              <w:rPr>
                <w:color w:val="000000"/>
                <w:sz w:val="21"/>
                <w:szCs w:val="21"/>
              </w:rPr>
            </w:pPr>
            <w:r w:rsidRPr="00301959">
              <w:rPr>
                <w:color w:val="000000"/>
                <w:sz w:val="21"/>
                <w:szCs w:val="21"/>
              </w:rPr>
              <w:t>Dodatkowe informacje, w tym wskazanie źródeł danych i przyjętych do obliczeń założeń</w:t>
            </w:r>
          </w:p>
        </w:tc>
        <w:tc>
          <w:tcPr>
            <w:tcW w:w="8694" w:type="dxa"/>
            <w:gridSpan w:val="27"/>
            <w:shd w:val="clear" w:color="auto" w:fill="FFFFFF"/>
          </w:tcPr>
          <w:p w:rsidR="002C4F03" w:rsidRPr="00C53F26" w:rsidRDefault="002C4F03" w:rsidP="00B37C80">
            <w:pPr>
              <w:spacing w:line="240" w:lineRule="auto"/>
              <w:jc w:val="both"/>
              <w:rPr>
                <w:color w:val="000000"/>
                <w:sz w:val="21"/>
                <w:szCs w:val="21"/>
              </w:rPr>
            </w:pPr>
            <w:r w:rsidRPr="004C4DF0">
              <w:rPr>
                <w:color w:val="000000"/>
              </w:rPr>
              <w:t>Wejście w życie projektowanego rozporządzenia nie wpłynie na finanse publiczne.</w:t>
            </w:r>
          </w:p>
        </w:tc>
      </w:tr>
      <w:tr w:rsidR="002C4F03" w:rsidRPr="008B4FE6" w:rsidTr="00676C8D">
        <w:trPr>
          <w:gridAfter w:val="1"/>
          <w:wAfter w:w="10" w:type="dxa"/>
          <w:trHeight w:val="345"/>
        </w:trPr>
        <w:tc>
          <w:tcPr>
            <w:tcW w:w="10937" w:type="dxa"/>
            <w:gridSpan w:val="29"/>
            <w:shd w:val="clear" w:color="auto" w:fill="99CCFF"/>
          </w:tcPr>
          <w:p w:rsidR="002C4F03" w:rsidRPr="008B4FE6" w:rsidRDefault="002C4F03" w:rsidP="002C4F03">
            <w:pPr>
              <w:widowControl/>
              <w:numPr>
                <w:ilvl w:val="0"/>
                <w:numId w:val="47"/>
              </w:numPr>
              <w:autoSpaceDE/>
              <w:autoSpaceDN/>
              <w:adjustRightInd/>
              <w:spacing w:before="120" w:after="120" w:line="240" w:lineRule="auto"/>
              <w:jc w:val="both"/>
              <w:rPr>
                <w:b/>
                <w:color w:val="000000"/>
                <w:spacing w:val="-2"/>
              </w:rPr>
            </w:pPr>
            <w:r w:rsidRPr="008B4FE6">
              <w:rPr>
                <w:b/>
                <w:color w:val="000000"/>
                <w:spacing w:val="-2"/>
              </w:rPr>
              <w:t xml:space="preserve">Wpływ na </w:t>
            </w:r>
            <w:r w:rsidRPr="008B4FE6">
              <w:rPr>
                <w:b/>
                <w:color w:val="000000"/>
              </w:rPr>
              <w:t>konkurencyjność gospodark</w:t>
            </w:r>
            <w:r>
              <w:rPr>
                <w:b/>
                <w:color w:val="000000"/>
              </w:rPr>
              <w:t>i</w:t>
            </w:r>
            <w:r w:rsidRPr="008B4FE6">
              <w:rPr>
                <w:b/>
                <w:color w:val="000000"/>
              </w:rPr>
              <w:t xml:space="preserve"> </w:t>
            </w:r>
            <w:r>
              <w:rPr>
                <w:b/>
                <w:color w:val="000000"/>
              </w:rPr>
              <w:t>i przedsiębiorczość,</w:t>
            </w:r>
            <w:r w:rsidRPr="008B4FE6">
              <w:rPr>
                <w:b/>
                <w:color w:val="000000"/>
              </w:rPr>
              <w:t xml:space="preserve"> </w:t>
            </w:r>
            <w:r>
              <w:rPr>
                <w:b/>
                <w:color w:val="000000"/>
              </w:rPr>
              <w:t xml:space="preserve">w tym </w:t>
            </w:r>
            <w:r w:rsidRPr="008B4FE6">
              <w:rPr>
                <w:b/>
                <w:color w:val="000000"/>
              </w:rPr>
              <w:t>funkcjonowanie przedsiębi</w:t>
            </w:r>
            <w:r>
              <w:rPr>
                <w:b/>
                <w:color w:val="000000"/>
              </w:rPr>
              <w:t xml:space="preserve">orców oraz na rodzinę, obywateli i gospodarstwa domowe </w:t>
            </w:r>
          </w:p>
        </w:tc>
      </w:tr>
      <w:tr w:rsidR="002C4F03" w:rsidRPr="008B4FE6" w:rsidTr="00676C8D">
        <w:trPr>
          <w:gridAfter w:val="1"/>
          <w:wAfter w:w="10" w:type="dxa"/>
          <w:trHeight w:val="142"/>
        </w:trPr>
        <w:tc>
          <w:tcPr>
            <w:tcW w:w="10937" w:type="dxa"/>
            <w:gridSpan w:val="29"/>
            <w:shd w:val="clear" w:color="auto" w:fill="FFFFFF"/>
          </w:tcPr>
          <w:p w:rsidR="002C4F03" w:rsidRPr="00301959" w:rsidRDefault="002C4F03" w:rsidP="00811D46">
            <w:pPr>
              <w:spacing w:line="240" w:lineRule="auto"/>
              <w:jc w:val="center"/>
              <w:rPr>
                <w:color w:val="000000"/>
                <w:spacing w:val="-2"/>
                <w:sz w:val="21"/>
                <w:szCs w:val="21"/>
              </w:rPr>
            </w:pPr>
            <w:r>
              <w:rPr>
                <w:color w:val="000000"/>
                <w:spacing w:val="-2"/>
                <w:sz w:val="21"/>
                <w:szCs w:val="21"/>
              </w:rPr>
              <w:t>Skutki</w:t>
            </w:r>
          </w:p>
        </w:tc>
      </w:tr>
      <w:tr w:rsidR="002C4F03" w:rsidRPr="008B4FE6" w:rsidTr="00676C8D">
        <w:trPr>
          <w:gridAfter w:val="1"/>
          <w:wAfter w:w="10" w:type="dxa"/>
          <w:trHeight w:val="142"/>
        </w:trPr>
        <w:tc>
          <w:tcPr>
            <w:tcW w:w="3889" w:type="dxa"/>
            <w:gridSpan w:val="7"/>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Czas w latach od wejścia w życie zmian</w:t>
            </w:r>
          </w:p>
        </w:tc>
        <w:tc>
          <w:tcPr>
            <w:tcW w:w="937" w:type="dxa"/>
            <w:gridSpan w:val="2"/>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0</w:t>
            </w:r>
          </w:p>
        </w:tc>
        <w:tc>
          <w:tcPr>
            <w:tcW w:w="938" w:type="dxa"/>
            <w:gridSpan w:val="5"/>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1</w:t>
            </w:r>
          </w:p>
        </w:tc>
        <w:tc>
          <w:tcPr>
            <w:tcW w:w="938" w:type="dxa"/>
            <w:gridSpan w:val="4"/>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2</w:t>
            </w:r>
          </w:p>
        </w:tc>
        <w:tc>
          <w:tcPr>
            <w:tcW w:w="937" w:type="dxa"/>
            <w:gridSpan w:val="3"/>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3</w:t>
            </w:r>
          </w:p>
        </w:tc>
        <w:tc>
          <w:tcPr>
            <w:tcW w:w="938" w:type="dxa"/>
            <w:gridSpan w:val="4"/>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5</w:t>
            </w:r>
          </w:p>
        </w:tc>
        <w:tc>
          <w:tcPr>
            <w:tcW w:w="938" w:type="dxa"/>
            <w:gridSpan w:val="3"/>
            <w:shd w:val="clear" w:color="auto" w:fill="FFFFFF"/>
          </w:tcPr>
          <w:p w:rsidR="002C4F03" w:rsidRPr="00301959" w:rsidRDefault="002C4F03" w:rsidP="00811D46">
            <w:pPr>
              <w:spacing w:line="240" w:lineRule="auto"/>
              <w:jc w:val="center"/>
              <w:rPr>
                <w:color w:val="000000"/>
                <w:sz w:val="21"/>
                <w:szCs w:val="21"/>
              </w:rPr>
            </w:pPr>
            <w:r w:rsidRPr="00301959">
              <w:rPr>
                <w:color w:val="000000"/>
                <w:sz w:val="21"/>
                <w:szCs w:val="21"/>
              </w:rPr>
              <w:t>10</w:t>
            </w:r>
          </w:p>
        </w:tc>
        <w:tc>
          <w:tcPr>
            <w:tcW w:w="1422" w:type="dxa"/>
            <w:shd w:val="clear" w:color="auto" w:fill="FFFFFF"/>
          </w:tcPr>
          <w:p w:rsidR="002C4F03" w:rsidRPr="001B3460" w:rsidRDefault="002C4F03" w:rsidP="00811D46">
            <w:pPr>
              <w:spacing w:line="240" w:lineRule="auto"/>
              <w:jc w:val="center"/>
              <w:rPr>
                <w:i/>
                <w:color w:val="000000"/>
                <w:spacing w:val="-2"/>
                <w:sz w:val="21"/>
                <w:szCs w:val="21"/>
              </w:rPr>
            </w:pPr>
            <w:r w:rsidRPr="001B3460">
              <w:rPr>
                <w:i/>
                <w:color w:val="000000"/>
                <w:spacing w:val="-2"/>
                <w:sz w:val="21"/>
                <w:szCs w:val="21"/>
              </w:rPr>
              <w:t>Łącznie</w:t>
            </w:r>
            <w:r w:rsidRPr="001B3460" w:rsidDel="0073273A">
              <w:rPr>
                <w:i/>
                <w:color w:val="000000"/>
                <w:spacing w:val="-2"/>
                <w:sz w:val="21"/>
                <w:szCs w:val="21"/>
              </w:rPr>
              <w:t xml:space="preserve"> </w:t>
            </w:r>
            <w:r w:rsidRPr="001B3460">
              <w:rPr>
                <w:i/>
                <w:color w:val="000000"/>
                <w:spacing w:val="-2"/>
                <w:sz w:val="21"/>
                <w:szCs w:val="21"/>
              </w:rPr>
              <w:t>(0-10)</w:t>
            </w:r>
          </w:p>
        </w:tc>
      </w:tr>
      <w:tr w:rsidR="002C4F03" w:rsidRPr="008B4FE6" w:rsidTr="008A5095">
        <w:trPr>
          <w:gridAfter w:val="1"/>
          <w:wAfter w:w="10" w:type="dxa"/>
          <w:trHeight w:val="142"/>
        </w:trPr>
        <w:tc>
          <w:tcPr>
            <w:tcW w:w="1596" w:type="dxa"/>
            <w:vMerge w:val="restart"/>
            <w:shd w:val="clear" w:color="auto" w:fill="FFFFFF"/>
          </w:tcPr>
          <w:p w:rsidR="002C4F03" w:rsidRDefault="002C4F03" w:rsidP="006F78C4">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pieniężnym</w:t>
            </w:r>
          </w:p>
          <w:p w:rsidR="002C4F03" w:rsidRDefault="002C4F03" w:rsidP="006F78C4">
            <w:pPr>
              <w:rPr>
                <w:spacing w:val="-2"/>
                <w:sz w:val="21"/>
                <w:szCs w:val="21"/>
              </w:rPr>
            </w:pPr>
            <w:r>
              <w:rPr>
                <w:spacing w:val="-2"/>
                <w:sz w:val="21"/>
                <w:szCs w:val="21"/>
              </w:rPr>
              <w:t xml:space="preserve">(w mln zł, </w:t>
            </w:r>
          </w:p>
          <w:p w:rsidR="002C4F03" w:rsidRPr="00301959" w:rsidRDefault="002C4F03" w:rsidP="006F78C4">
            <w:pPr>
              <w:spacing w:line="240" w:lineRule="auto"/>
              <w:rPr>
                <w:color w:val="000000"/>
                <w:sz w:val="21"/>
                <w:szCs w:val="21"/>
              </w:rPr>
            </w:pPr>
            <w:r>
              <w:rPr>
                <w:spacing w:val="-2"/>
                <w:sz w:val="21"/>
                <w:szCs w:val="21"/>
              </w:rPr>
              <w:t>ceny stałe z …… r.)</w:t>
            </w:r>
          </w:p>
        </w:tc>
        <w:tc>
          <w:tcPr>
            <w:tcW w:w="2293" w:type="dxa"/>
            <w:gridSpan w:val="6"/>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duże przedsiębiorstwa</w:t>
            </w:r>
          </w:p>
        </w:tc>
        <w:tc>
          <w:tcPr>
            <w:tcW w:w="937" w:type="dxa"/>
            <w:gridSpan w:val="2"/>
            <w:shd w:val="clear" w:color="auto" w:fill="FFFFFF"/>
          </w:tcPr>
          <w:p w:rsidR="002C4F03" w:rsidRPr="00B37C80" w:rsidRDefault="002C4F03" w:rsidP="00811D46">
            <w:pPr>
              <w:spacing w:line="240" w:lineRule="auto"/>
              <w:rPr>
                <w:color w:val="000000"/>
                <w:sz w:val="21"/>
                <w:szCs w:val="21"/>
              </w:rPr>
            </w:pPr>
          </w:p>
        </w:tc>
        <w:tc>
          <w:tcPr>
            <w:tcW w:w="938" w:type="dxa"/>
            <w:gridSpan w:val="5"/>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7" w:type="dxa"/>
            <w:gridSpan w:val="3"/>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8" w:type="dxa"/>
            <w:gridSpan w:val="3"/>
            <w:shd w:val="clear" w:color="auto" w:fill="FFFFFF"/>
          </w:tcPr>
          <w:p w:rsidR="002C4F03" w:rsidRPr="00B37C80" w:rsidRDefault="002C4F03" w:rsidP="00811D46">
            <w:pPr>
              <w:spacing w:line="240" w:lineRule="auto"/>
              <w:rPr>
                <w:color w:val="000000"/>
                <w:sz w:val="21"/>
                <w:szCs w:val="21"/>
              </w:rPr>
            </w:pPr>
          </w:p>
        </w:tc>
        <w:tc>
          <w:tcPr>
            <w:tcW w:w="1422" w:type="dxa"/>
            <w:shd w:val="clear" w:color="auto" w:fill="FFFFFF"/>
          </w:tcPr>
          <w:p w:rsidR="002C4F03" w:rsidRPr="00B37C80" w:rsidRDefault="002C4F03" w:rsidP="00811D46">
            <w:pPr>
              <w:spacing w:line="240" w:lineRule="auto"/>
              <w:rPr>
                <w:color w:val="000000"/>
                <w:spacing w:val="-2"/>
                <w:sz w:val="21"/>
                <w:szCs w:val="21"/>
              </w:rPr>
            </w:pPr>
          </w:p>
        </w:tc>
      </w:tr>
      <w:tr w:rsidR="002C4F03" w:rsidRPr="008B4FE6" w:rsidTr="008A5095">
        <w:trPr>
          <w:gridAfter w:val="1"/>
          <w:wAfter w:w="10" w:type="dxa"/>
          <w:trHeight w:val="142"/>
        </w:trPr>
        <w:tc>
          <w:tcPr>
            <w:tcW w:w="1596" w:type="dxa"/>
            <w:vMerge/>
            <w:shd w:val="clear" w:color="auto" w:fill="FFFFFF"/>
          </w:tcPr>
          <w:p w:rsidR="002C4F03" w:rsidRPr="00301959" w:rsidRDefault="002C4F03" w:rsidP="00811D46">
            <w:pPr>
              <w:spacing w:line="240" w:lineRule="auto"/>
              <w:rPr>
                <w:color w:val="000000"/>
                <w:sz w:val="21"/>
                <w:szCs w:val="21"/>
              </w:rPr>
            </w:pPr>
          </w:p>
        </w:tc>
        <w:tc>
          <w:tcPr>
            <w:tcW w:w="2293" w:type="dxa"/>
            <w:gridSpan w:val="6"/>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sektor mikro-, małych i średnich przedsiębiorstw</w:t>
            </w:r>
          </w:p>
        </w:tc>
        <w:tc>
          <w:tcPr>
            <w:tcW w:w="937" w:type="dxa"/>
            <w:gridSpan w:val="2"/>
            <w:shd w:val="clear" w:color="auto" w:fill="FFFFFF"/>
          </w:tcPr>
          <w:p w:rsidR="002C4F03" w:rsidRPr="00B37C80" w:rsidRDefault="002C4F03" w:rsidP="00811D46">
            <w:pPr>
              <w:spacing w:line="240" w:lineRule="auto"/>
              <w:rPr>
                <w:color w:val="000000"/>
                <w:sz w:val="21"/>
                <w:szCs w:val="21"/>
              </w:rPr>
            </w:pPr>
          </w:p>
        </w:tc>
        <w:tc>
          <w:tcPr>
            <w:tcW w:w="938" w:type="dxa"/>
            <w:gridSpan w:val="5"/>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7" w:type="dxa"/>
            <w:gridSpan w:val="3"/>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8" w:type="dxa"/>
            <w:gridSpan w:val="3"/>
            <w:shd w:val="clear" w:color="auto" w:fill="FFFFFF"/>
          </w:tcPr>
          <w:p w:rsidR="002C4F03" w:rsidRPr="00B37C80" w:rsidRDefault="002C4F03" w:rsidP="00811D46">
            <w:pPr>
              <w:spacing w:line="240" w:lineRule="auto"/>
              <w:rPr>
                <w:color w:val="000000"/>
                <w:sz w:val="21"/>
                <w:szCs w:val="21"/>
              </w:rPr>
            </w:pPr>
          </w:p>
        </w:tc>
        <w:tc>
          <w:tcPr>
            <w:tcW w:w="1422" w:type="dxa"/>
            <w:shd w:val="clear" w:color="auto" w:fill="FFFFFF"/>
          </w:tcPr>
          <w:p w:rsidR="002C4F03" w:rsidRPr="00B37C80" w:rsidRDefault="002C4F03" w:rsidP="00811D46">
            <w:pPr>
              <w:spacing w:line="240" w:lineRule="auto"/>
              <w:rPr>
                <w:color w:val="000000"/>
                <w:spacing w:val="-2"/>
                <w:sz w:val="21"/>
                <w:szCs w:val="21"/>
              </w:rPr>
            </w:pPr>
          </w:p>
        </w:tc>
      </w:tr>
      <w:tr w:rsidR="002C4F03" w:rsidRPr="008B4FE6" w:rsidTr="008A5095">
        <w:trPr>
          <w:gridAfter w:val="1"/>
          <w:wAfter w:w="10" w:type="dxa"/>
          <w:trHeight w:val="142"/>
        </w:trPr>
        <w:tc>
          <w:tcPr>
            <w:tcW w:w="1596" w:type="dxa"/>
            <w:vMerge/>
            <w:shd w:val="clear" w:color="auto" w:fill="FFFFFF"/>
          </w:tcPr>
          <w:p w:rsidR="002C4F03" w:rsidRPr="00301959" w:rsidRDefault="002C4F03" w:rsidP="00811D46">
            <w:pPr>
              <w:spacing w:line="240" w:lineRule="auto"/>
              <w:rPr>
                <w:color w:val="000000"/>
                <w:sz w:val="21"/>
                <w:szCs w:val="21"/>
              </w:rPr>
            </w:pPr>
          </w:p>
        </w:tc>
        <w:tc>
          <w:tcPr>
            <w:tcW w:w="2293" w:type="dxa"/>
            <w:gridSpan w:val="6"/>
            <w:shd w:val="clear" w:color="auto" w:fill="FFFFFF"/>
          </w:tcPr>
          <w:p w:rsidR="002C4F03" w:rsidRPr="00301959" w:rsidRDefault="002C4F03" w:rsidP="00811D46">
            <w:pPr>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937" w:type="dxa"/>
            <w:gridSpan w:val="2"/>
            <w:shd w:val="clear" w:color="auto" w:fill="FFFFFF"/>
          </w:tcPr>
          <w:p w:rsidR="002C4F03" w:rsidRPr="00B37C80" w:rsidRDefault="002C4F03" w:rsidP="00811D46">
            <w:pPr>
              <w:spacing w:line="240" w:lineRule="auto"/>
              <w:rPr>
                <w:color w:val="000000"/>
                <w:sz w:val="21"/>
                <w:szCs w:val="21"/>
              </w:rPr>
            </w:pPr>
          </w:p>
        </w:tc>
        <w:tc>
          <w:tcPr>
            <w:tcW w:w="938" w:type="dxa"/>
            <w:gridSpan w:val="5"/>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7" w:type="dxa"/>
            <w:gridSpan w:val="3"/>
            <w:shd w:val="clear" w:color="auto" w:fill="FFFFFF"/>
          </w:tcPr>
          <w:p w:rsidR="002C4F03" w:rsidRPr="00B37C80" w:rsidRDefault="002C4F03" w:rsidP="00811D46">
            <w:pPr>
              <w:spacing w:line="240" w:lineRule="auto"/>
              <w:rPr>
                <w:color w:val="000000"/>
                <w:sz w:val="21"/>
                <w:szCs w:val="21"/>
              </w:rPr>
            </w:pPr>
          </w:p>
        </w:tc>
        <w:tc>
          <w:tcPr>
            <w:tcW w:w="938" w:type="dxa"/>
            <w:gridSpan w:val="4"/>
            <w:shd w:val="clear" w:color="auto" w:fill="FFFFFF"/>
          </w:tcPr>
          <w:p w:rsidR="002C4F03" w:rsidRPr="00B37C80" w:rsidRDefault="002C4F03" w:rsidP="00811D46">
            <w:pPr>
              <w:spacing w:line="240" w:lineRule="auto"/>
              <w:rPr>
                <w:color w:val="000000"/>
                <w:sz w:val="21"/>
                <w:szCs w:val="21"/>
              </w:rPr>
            </w:pPr>
          </w:p>
        </w:tc>
        <w:tc>
          <w:tcPr>
            <w:tcW w:w="938" w:type="dxa"/>
            <w:gridSpan w:val="3"/>
            <w:shd w:val="clear" w:color="auto" w:fill="FFFFFF"/>
          </w:tcPr>
          <w:p w:rsidR="002C4F03" w:rsidRPr="00B37C80" w:rsidRDefault="002C4F03" w:rsidP="00811D46">
            <w:pPr>
              <w:spacing w:line="240" w:lineRule="auto"/>
              <w:rPr>
                <w:color w:val="000000"/>
                <w:sz w:val="21"/>
                <w:szCs w:val="21"/>
              </w:rPr>
            </w:pPr>
          </w:p>
        </w:tc>
        <w:tc>
          <w:tcPr>
            <w:tcW w:w="1422" w:type="dxa"/>
            <w:shd w:val="clear" w:color="auto" w:fill="FFFFFF"/>
          </w:tcPr>
          <w:p w:rsidR="002C4F03" w:rsidRPr="00B37C80" w:rsidRDefault="002C4F03" w:rsidP="00811D46">
            <w:pPr>
              <w:spacing w:line="240" w:lineRule="auto"/>
              <w:rPr>
                <w:color w:val="000000"/>
                <w:spacing w:val="-2"/>
                <w:sz w:val="21"/>
                <w:szCs w:val="21"/>
              </w:rPr>
            </w:pPr>
          </w:p>
        </w:tc>
      </w:tr>
      <w:tr w:rsidR="002C4F03" w:rsidRPr="008B4FE6" w:rsidTr="00676C8D">
        <w:trPr>
          <w:gridAfter w:val="1"/>
          <w:wAfter w:w="10" w:type="dxa"/>
          <w:trHeight w:val="142"/>
        </w:trPr>
        <w:tc>
          <w:tcPr>
            <w:tcW w:w="1596" w:type="dxa"/>
            <w:vMerge w:val="restart"/>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lastRenderedPageBreak/>
              <w:t xml:space="preserve">W </w:t>
            </w:r>
            <w:r>
              <w:rPr>
                <w:color w:val="000000"/>
                <w:sz w:val="21"/>
                <w:szCs w:val="21"/>
              </w:rPr>
              <w:t>ujęciu</w:t>
            </w:r>
            <w:r w:rsidRPr="00301959">
              <w:rPr>
                <w:color w:val="000000"/>
                <w:sz w:val="21"/>
                <w:szCs w:val="21"/>
              </w:rPr>
              <w:t xml:space="preserve"> niepieniężnym</w:t>
            </w:r>
          </w:p>
        </w:tc>
        <w:tc>
          <w:tcPr>
            <w:tcW w:w="2293" w:type="dxa"/>
            <w:gridSpan w:val="6"/>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duże przedsiębiorstwa</w:t>
            </w:r>
          </w:p>
        </w:tc>
        <w:tc>
          <w:tcPr>
            <w:tcW w:w="7048" w:type="dxa"/>
            <w:gridSpan w:val="22"/>
            <w:shd w:val="clear" w:color="auto" w:fill="FFFFFF"/>
          </w:tcPr>
          <w:p w:rsidR="002C4F03" w:rsidRPr="00B37C80" w:rsidRDefault="002C4F03" w:rsidP="00811D46">
            <w:pPr>
              <w:spacing w:line="240" w:lineRule="auto"/>
              <w:rPr>
                <w:color w:val="000000"/>
                <w:spacing w:val="-2"/>
                <w:sz w:val="21"/>
                <w:szCs w:val="21"/>
              </w:rPr>
            </w:pPr>
          </w:p>
        </w:tc>
      </w:tr>
      <w:tr w:rsidR="002C4F03" w:rsidRPr="008B4FE6" w:rsidTr="00676C8D">
        <w:trPr>
          <w:gridAfter w:val="1"/>
          <w:wAfter w:w="10" w:type="dxa"/>
          <w:trHeight w:val="142"/>
        </w:trPr>
        <w:tc>
          <w:tcPr>
            <w:tcW w:w="1596" w:type="dxa"/>
            <w:vMerge/>
            <w:shd w:val="clear" w:color="auto" w:fill="FFFFFF"/>
          </w:tcPr>
          <w:p w:rsidR="002C4F03" w:rsidRPr="00301959" w:rsidRDefault="002C4F03" w:rsidP="00811D46">
            <w:pPr>
              <w:spacing w:line="240" w:lineRule="auto"/>
              <w:rPr>
                <w:color w:val="000000"/>
                <w:sz w:val="21"/>
                <w:szCs w:val="21"/>
              </w:rPr>
            </w:pPr>
          </w:p>
        </w:tc>
        <w:tc>
          <w:tcPr>
            <w:tcW w:w="2293" w:type="dxa"/>
            <w:gridSpan w:val="6"/>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sektor mikro-, małych i średnich przedsiębiorstw</w:t>
            </w:r>
          </w:p>
        </w:tc>
        <w:tc>
          <w:tcPr>
            <w:tcW w:w="7048" w:type="dxa"/>
            <w:gridSpan w:val="22"/>
            <w:shd w:val="clear" w:color="auto" w:fill="FFFFFF"/>
          </w:tcPr>
          <w:p w:rsidR="002C4F03" w:rsidRPr="00B37C80" w:rsidRDefault="002C4F03" w:rsidP="00811D46">
            <w:pPr>
              <w:spacing w:line="240" w:lineRule="auto"/>
              <w:rPr>
                <w:color w:val="000000"/>
                <w:spacing w:val="-2"/>
                <w:sz w:val="21"/>
                <w:szCs w:val="21"/>
              </w:rPr>
            </w:pPr>
          </w:p>
        </w:tc>
      </w:tr>
      <w:tr w:rsidR="002C4F03" w:rsidRPr="008B4FE6" w:rsidTr="00676C8D">
        <w:trPr>
          <w:gridAfter w:val="1"/>
          <w:wAfter w:w="10" w:type="dxa"/>
          <w:trHeight w:val="596"/>
        </w:trPr>
        <w:tc>
          <w:tcPr>
            <w:tcW w:w="1596" w:type="dxa"/>
            <w:vMerge/>
            <w:shd w:val="clear" w:color="auto" w:fill="FFFFFF"/>
          </w:tcPr>
          <w:p w:rsidR="002C4F03" w:rsidRPr="00301959" w:rsidRDefault="002C4F03" w:rsidP="00811D46">
            <w:pPr>
              <w:spacing w:line="240" w:lineRule="auto"/>
              <w:rPr>
                <w:color w:val="000000"/>
                <w:sz w:val="21"/>
                <w:szCs w:val="21"/>
              </w:rPr>
            </w:pPr>
          </w:p>
        </w:tc>
        <w:tc>
          <w:tcPr>
            <w:tcW w:w="2293" w:type="dxa"/>
            <w:gridSpan w:val="6"/>
            <w:shd w:val="clear" w:color="auto" w:fill="FFFFFF"/>
          </w:tcPr>
          <w:p w:rsidR="002C4F03" w:rsidRPr="00301959" w:rsidRDefault="002C4F03" w:rsidP="00955774">
            <w:pPr>
              <w:tabs>
                <w:tab w:val="right" w:pos="1936"/>
              </w:tabs>
              <w:spacing w:line="240" w:lineRule="auto"/>
              <w:rPr>
                <w:color w:val="000000"/>
                <w:sz w:val="21"/>
                <w:szCs w:val="21"/>
              </w:rPr>
            </w:pPr>
            <w:r>
              <w:rPr>
                <w:sz w:val="21"/>
                <w:szCs w:val="21"/>
              </w:rPr>
              <w:t xml:space="preserve">rodzina, </w:t>
            </w:r>
            <w:r w:rsidRPr="00301959">
              <w:rPr>
                <w:sz w:val="21"/>
                <w:szCs w:val="21"/>
              </w:rPr>
              <w:t>obywatele oraz gospodarstwa domowe</w:t>
            </w:r>
            <w:r w:rsidRPr="00301959">
              <w:rPr>
                <w:color w:val="000000"/>
                <w:sz w:val="21"/>
                <w:szCs w:val="21"/>
              </w:rPr>
              <w:t xml:space="preserve"> </w:t>
            </w:r>
          </w:p>
        </w:tc>
        <w:tc>
          <w:tcPr>
            <w:tcW w:w="7048" w:type="dxa"/>
            <w:gridSpan w:val="22"/>
            <w:shd w:val="clear" w:color="auto" w:fill="FFFFFF"/>
          </w:tcPr>
          <w:p w:rsidR="002C4F03" w:rsidRPr="00B37C80" w:rsidRDefault="002C4F03" w:rsidP="00955774">
            <w:pPr>
              <w:spacing w:line="240" w:lineRule="auto"/>
              <w:rPr>
                <w:color w:val="000000"/>
                <w:spacing w:val="-2"/>
                <w:sz w:val="21"/>
                <w:szCs w:val="21"/>
              </w:rPr>
            </w:pPr>
          </w:p>
        </w:tc>
      </w:tr>
      <w:tr w:rsidR="002C4F03" w:rsidRPr="008B4FE6" w:rsidTr="00676C8D">
        <w:trPr>
          <w:gridAfter w:val="1"/>
          <w:wAfter w:w="10" w:type="dxa"/>
          <w:trHeight w:val="142"/>
        </w:trPr>
        <w:tc>
          <w:tcPr>
            <w:tcW w:w="1596" w:type="dxa"/>
            <w:shd w:val="clear" w:color="auto" w:fill="FFFFFF"/>
          </w:tcPr>
          <w:p w:rsidR="002C4F03" w:rsidRPr="00301959" w:rsidRDefault="002C4F03" w:rsidP="00811D46">
            <w:pPr>
              <w:spacing w:line="240" w:lineRule="auto"/>
              <w:rPr>
                <w:color w:val="000000"/>
                <w:sz w:val="21"/>
                <w:szCs w:val="21"/>
              </w:rPr>
            </w:pPr>
            <w:r w:rsidRPr="00301959">
              <w:rPr>
                <w:color w:val="000000"/>
                <w:sz w:val="21"/>
                <w:szCs w:val="21"/>
              </w:rPr>
              <w:t>Niemierzalne</w:t>
            </w:r>
          </w:p>
        </w:tc>
        <w:tc>
          <w:tcPr>
            <w:tcW w:w="2293" w:type="dxa"/>
            <w:gridSpan w:val="6"/>
            <w:shd w:val="clear" w:color="auto" w:fill="FFFFFF"/>
          </w:tcPr>
          <w:p w:rsidR="002C4F03" w:rsidRPr="00EE6239" w:rsidRDefault="002C4F03" w:rsidP="00811D46">
            <w:pPr>
              <w:spacing w:line="240" w:lineRule="auto"/>
              <w:rPr>
                <w:color w:val="000000"/>
              </w:rPr>
            </w:pPr>
            <w:r w:rsidRPr="00EE6239">
              <w:rPr>
                <w:color w:val="000000"/>
              </w:rPr>
              <w:t>Użytkownicy pojazdów</w:t>
            </w:r>
          </w:p>
        </w:tc>
        <w:tc>
          <w:tcPr>
            <w:tcW w:w="7048" w:type="dxa"/>
            <w:gridSpan w:val="22"/>
            <w:shd w:val="clear" w:color="auto" w:fill="FFFFFF"/>
          </w:tcPr>
          <w:p w:rsidR="002C4F03" w:rsidRPr="000F0847" w:rsidRDefault="002C4F03" w:rsidP="001D54B2">
            <w:pPr>
              <w:spacing w:line="240" w:lineRule="auto"/>
              <w:rPr>
                <w:color w:val="000000"/>
                <w:spacing w:val="-2"/>
              </w:rPr>
            </w:pPr>
            <w:r w:rsidRPr="00EE6239">
              <w:rPr>
                <w:color w:val="000000"/>
                <w:spacing w:val="-2"/>
              </w:rPr>
              <w:t xml:space="preserve">Określenie </w:t>
            </w:r>
            <w:r>
              <w:rPr>
                <w:color w:val="000000"/>
                <w:spacing w:val="-2"/>
              </w:rPr>
              <w:t>wymagań w zakresie sposobu przewozu ładunku wpłynie na zwiększenie bezpieczeństwa na polskich drogach.</w:t>
            </w:r>
          </w:p>
        </w:tc>
      </w:tr>
      <w:tr w:rsidR="002C4F03" w:rsidRPr="008B4FE6" w:rsidTr="00676C8D">
        <w:trPr>
          <w:gridAfter w:val="1"/>
          <w:wAfter w:w="10" w:type="dxa"/>
          <w:trHeight w:val="1643"/>
        </w:trPr>
        <w:tc>
          <w:tcPr>
            <w:tcW w:w="2243" w:type="dxa"/>
            <w:gridSpan w:val="2"/>
            <w:shd w:val="clear" w:color="auto" w:fill="FFFFFF"/>
          </w:tcPr>
          <w:p w:rsidR="002C4F03" w:rsidRPr="00301959" w:rsidRDefault="002C4F03" w:rsidP="00821717">
            <w:pPr>
              <w:spacing w:line="240" w:lineRule="auto"/>
              <w:rPr>
                <w:color w:val="000000"/>
                <w:sz w:val="21"/>
                <w:szCs w:val="21"/>
              </w:rPr>
            </w:pPr>
            <w:r w:rsidRPr="00301959">
              <w:rPr>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2C4F03" w:rsidRPr="00EE6239" w:rsidRDefault="002C4F03" w:rsidP="00070B5A">
            <w:pPr>
              <w:spacing w:line="240" w:lineRule="auto"/>
              <w:jc w:val="both"/>
              <w:rPr>
                <w:color w:val="000000"/>
                <w:spacing w:val="-2"/>
              </w:rPr>
            </w:pPr>
            <w:r w:rsidRPr="00EE6239">
              <w:rPr>
                <w:color w:val="000000"/>
              </w:rPr>
              <w:t xml:space="preserve">Wejście w życie projektowanego rozporządzenia nie wpłynie na konkurencyjność gospodarki </w:t>
            </w:r>
            <w:r>
              <w:rPr>
                <w:color w:val="000000"/>
              </w:rPr>
              <w:br/>
            </w:r>
            <w:r w:rsidRPr="00EE6239">
              <w:rPr>
                <w:color w:val="000000"/>
              </w:rPr>
              <w:t xml:space="preserve">i przedsiębiorczość, w tym funkcjonowanie przedsiębiorców oraz na rodzinę, obywateli </w:t>
            </w:r>
            <w:r>
              <w:rPr>
                <w:color w:val="000000"/>
              </w:rPr>
              <w:br/>
            </w:r>
            <w:r w:rsidRPr="00EE6239">
              <w:rPr>
                <w:color w:val="000000"/>
              </w:rPr>
              <w:t xml:space="preserve">i gospodarstwa domowe. </w:t>
            </w:r>
          </w:p>
          <w:p w:rsidR="002C4F03" w:rsidRPr="00EE6239" w:rsidRDefault="002C4F03" w:rsidP="00CE19A5">
            <w:pPr>
              <w:spacing w:line="240" w:lineRule="auto"/>
              <w:jc w:val="both"/>
              <w:rPr>
                <w:color w:val="000000"/>
              </w:rPr>
            </w:pPr>
          </w:p>
        </w:tc>
      </w:tr>
      <w:tr w:rsidR="002C4F03" w:rsidRPr="008B4FE6" w:rsidTr="00676C8D">
        <w:trPr>
          <w:gridAfter w:val="1"/>
          <w:wAfter w:w="10" w:type="dxa"/>
          <w:trHeight w:val="342"/>
        </w:trPr>
        <w:tc>
          <w:tcPr>
            <w:tcW w:w="10937" w:type="dxa"/>
            <w:gridSpan w:val="29"/>
            <w:shd w:val="clear" w:color="auto" w:fill="99CCFF"/>
            <w:vAlign w:val="center"/>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8B4FE6">
              <w:rPr>
                <w:b/>
                <w:color w:val="000000"/>
              </w:rPr>
              <w:t xml:space="preserve"> </w:t>
            </w:r>
            <w:r>
              <w:rPr>
                <w:b/>
                <w:color w:val="000000"/>
              </w:rPr>
              <w:t>Zmiana o</w:t>
            </w:r>
            <w:r w:rsidRPr="008B4FE6">
              <w:rPr>
                <w:b/>
                <w:color w:val="000000"/>
              </w:rPr>
              <w:t>bciąże</w:t>
            </w:r>
            <w:r>
              <w:rPr>
                <w:b/>
                <w:color w:val="000000"/>
              </w:rPr>
              <w:t>ń</w:t>
            </w:r>
            <w:r w:rsidRPr="008B4FE6">
              <w:rPr>
                <w:b/>
                <w:color w:val="000000"/>
              </w:rPr>
              <w:t xml:space="preserve"> regulacyjn</w:t>
            </w:r>
            <w:r>
              <w:rPr>
                <w:b/>
                <w:color w:val="000000"/>
              </w:rPr>
              <w:t>ych (w tym obowiązków informacyjnych)</w:t>
            </w:r>
            <w:r w:rsidRPr="008B4FE6">
              <w:rPr>
                <w:b/>
                <w:color w:val="000000"/>
              </w:rPr>
              <w:t xml:space="preserve"> wynikając</w:t>
            </w:r>
            <w:r>
              <w:rPr>
                <w:b/>
                <w:color w:val="000000"/>
              </w:rPr>
              <w:t>ych</w:t>
            </w:r>
            <w:r w:rsidRPr="008B4FE6">
              <w:rPr>
                <w:b/>
                <w:color w:val="000000"/>
              </w:rPr>
              <w:t xml:space="preserve"> z projektu</w:t>
            </w:r>
          </w:p>
        </w:tc>
      </w:tr>
      <w:tr w:rsidR="002C4F03" w:rsidRPr="008B4FE6" w:rsidTr="00676C8D">
        <w:trPr>
          <w:gridAfter w:val="1"/>
          <w:wAfter w:w="10" w:type="dxa"/>
          <w:trHeight w:val="151"/>
        </w:trPr>
        <w:tc>
          <w:tcPr>
            <w:tcW w:w="10937" w:type="dxa"/>
            <w:gridSpan w:val="29"/>
            <w:shd w:val="clear" w:color="auto" w:fill="FFFFFF"/>
          </w:tcPr>
          <w:p w:rsidR="002C4F03" w:rsidRPr="008B4FE6" w:rsidRDefault="00BA279B" w:rsidP="00EE6239">
            <w:pPr>
              <w:spacing w:line="240" w:lineRule="auto"/>
              <w:rPr>
                <w:color w:val="000000"/>
              </w:rPr>
            </w:pPr>
            <w:sdt>
              <w:sdtPr>
                <w:rPr>
                  <w:color w:val="000000"/>
                  <w:spacing w:val="-2"/>
                </w:rPr>
                <w:id w:val="1930998347"/>
                <w:showingPlcHdr/>
              </w:sdtPr>
              <w:sdtEndPr/>
              <w:sdtContent>
                <w:r w:rsidR="002C4F03">
                  <w:rPr>
                    <w:color w:val="000000"/>
                    <w:spacing w:val="-2"/>
                  </w:rPr>
                  <w:t xml:space="preserve">     </w:t>
                </w:r>
              </w:sdtContent>
            </w:sdt>
            <w:r w:rsidR="002C4F03">
              <w:rPr>
                <w:color w:val="000000"/>
              </w:rPr>
              <w:fldChar w:fldCharType="begin">
                <w:ffData>
                  <w:name w:val=""/>
                  <w:enabled/>
                  <w:calcOnExit w:val="0"/>
                  <w:checkBox>
                    <w:sizeAuto/>
                    <w:default w:val="1"/>
                  </w:checkBox>
                </w:ffData>
              </w:fldChar>
            </w:r>
            <w:r w:rsidR="002C4F03">
              <w:rPr>
                <w:color w:val="000000"/>
              </w:rPr>
              <w:instrText xml:space="preserve"> FORMCHECKBOX </w:instrText>
            </w:r>
            <w:r>
              <w:rPr>
                <w:color w:val="000000"/>
              </w:rPr>
            </w:r>
            <w:r>
              <w:rPr>
                <w:color w:val="000000"/>
              </w:rPr>
              <w:fldChar w:fldCharType="separate"/>
            </w:r>
            <w:r w:rsidR="002C4F03">
              <w:rPr>
                <w:color w:val="000000"/>
              </w:rPr>
              <w:fldChar w:fldCharType="end"/>
            </w:r>
            <w:r w:rsidR="002C4F03">
              <w:rPr>
                <w:color w:val="000000"/>
              </w:rPr>
              <w:t xml:space="preserve"> </w:t>
            </w:r>
            <w:r w:rsidR="002C4F03" w:rsidRPr="001A5FDA">
              <w:rPr>
                <w:color w:val="000000"/>
                <w:spacing w:val="-2"/>
              </w:rPr>
              <w:t>nie dotyczy</w:t>
            </w:r>
          </w:p>
        </w:tc>
      </w:tr>
      <w:tr w:rsidR="002C4F03" w:rsidRPr="008B4FE6" w:rsidTr="00676C8D">
        <w:trPr>
          <w:gridAfter w:val="1"/>
          <w:wAfter w:w="10" w:type="dxa"/>
          <w:trHeight w:val="946"/>
        </w:trPr>
        <w:tc>
          <w:tcPr>
            <w:tcW w:w="5111" w:type="dxa"/>
            <w:gridSpan w:val="12"/>
            <w:shd w:val="clear" w:color="auto" w:fill="FFFFFF"/>
          </w:tcPr>
          <w:p w:rsidR="002C4F03" w:rsidRDefault="002C4F03" w:rsidP="001B3460">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5826" w:type="dxa"/>
            <w:gridSpan w:val="17"/>
            <w:shd w:val="clear" w:color="auto" w:fill="FFFFFF"/>
          </w:tcPr>
          <w:p w:rsidR="002C4F03" w:rsidRDefault="00BA279B" w:rsidP="004F4E17">
            <w:pPr>
              <w:spacing w:line="240" w:lineRule="auto"/>
              <w:rPr>
                <w:color w:val="000000"/>
              </w:rPr>
            </w:pPr>
            <w:sdt>
              <w:sdtPr>
                <w:rPr>
                  <w:color w:val="000000"/>
                </w:rPr>
                <w:id w:val="-501432790"/>
              </w:sdtPr>
              <w:sdtEndPr/>
              <w:sdtContent>
                <w:r w:rsidR="002C4F03">
                  <w:rPr>
                    <w:rFonts w:ascii="MS Gothic" w:eastAsia="MS Gothic" w:hAnsi="MS Gothic" w:hint="eastAsia"/>
                    <w:color w:val="000000"/>
                  </w:rPr>
                  <w:t>☐</w:t>
                </w:r>
              </w:sdtContent>
            </w:sdt>
            <w:r w:rsidR="002C4F03">
              <w:rPr>
                <w:color w:val="000000"/>
              </w:rPr>
              <w:t xml:space="preserve"> tak</w:t>
            </w:r>
          </w:p>
          <w:p w:rsidR="002C4F03" w:rsidRDefault="00BA279B" w:rsidP="004F4E17">
            <w:pPr>
              <w:spacing w:line="240" w:lineRule="auto"/>
              <w:rPr>
                <w:color w:val="000000"/>
              </w:rPr>
            </w:pPr>
            <w:sdt>
              <w:sdtPr>
                <w:rPr>
                  <w:color w:val="000000"/>
                </w:rPr>
                <w:id w:val="-1774005171"/>
              </w:sdtPr>
              <w:sdtEndPr/>
              <w:sdtContent>
                <w:r w:rsidR="002C4F03">
                  <w:rPr>
                    <w:rFonts w:ascii="MS Gothic" w:eastAsia="MS Gothic" w:hAnsi="MS Gothic" w:hint="eastAsia"/>
                    <w:color w:val="000000"/>
                  </w:rPr>
                  <w:t>☐</w:t>
                </w:r>
              </w:sdtContent>
            </w:sdt>
            <w:r w:rsidR="002C4F03">
              <w:rPr>
                <w:color w:val="000000"/>
              </w:rPr>
              <w:t xml:space="preserve"> nie</w:t>
            </w:r>
          </w:p>
          <w:p w:rsidR="002C4F03" w:rsidRDefault="00BA279B" w:rsidP="002D1DBF">
            <w:pPr>
              <w:rPr>
                <w:color w:val="000000"/>
              </w:rPr>
            </w:pPr>
            <w:sdt>
              <w:sdtPr>
                <w:rPr>
                  <w:color w:val="000000"/>
                </w:rPr>
                <w:id w:val="351533669"/>
              </w:sdtPr>
              <w:sdtEndPr/>
              <w:sdtContent>
                <w:r w:rsidR="002C4F03">
                  <w:rPr>
                    <w:color w:val="000000"/>
                  </w:rPr>
                  <w:fldChar w:fldCharType="begin">
                    <w:ffData>
                      <w:name w:val=""/>
                      <w:enabled/>
                      <w:calcOnExit w:val="0"/>
                      <w:checkBox>
                        <w:sizeAuto/>
                        <w:default w:val="1"/>
                      </w:checkBox>
                    </w:ffData>
                  </w:fldChar>
                </w:r>
                <w:r w:rsidR="002C4F03">
                  <w:rPr>
                    <w:color w:val="000000"/>
                  </w:rPr>
                  <w:instrText xml:space="preserve"> FORMCHECKBOX </w:instrText>
                </w:r>
                <w:r>
                  <w:rPr>
                    <w:color w:val="000000"/>
                  </w:rPr>
                </w:r>
                <w:r>
                  <w:rPr>
                    <w:color w:val="000000"/>
                  </w:rPr>
                  <w:fldChar w:fldCharType="separate"/>
                </w:r>
                <w:r w:rsidR="002C4F03">
                  <w:rPr>
                    <w:color w:val="000000"/>
                  </w:rPr>
                  <w:fldChar w:fldCharType="end"/>
                </w:r>
                <w:r w:rsidR="002C4F03">
                  <w:rPr>
                    <w:color w:val="000000"/>
                  </w:rPr>
                  <w:t xml:space="preserve"> </w:t>
                </w:r>
              </w:sdtContent>
            </w:sdt>
            <w:r w:rsidR="002C4F03">
              <w:rPr>
                <w:color w:val="000000"/>
              </w:rPr>
              <w:t xml:space="preserve"> nie dotyczy</w:t>
            </w:r>
          </w:p>
        </w:tc>
      </w:tr>
      <w:tr w:rsidR="002C4F03" w:rsidRPr="008B4FE6" w:rsidTr="00676C8D">
        <w:trPr>
          <w:gridAfter w:val="1"/>
          <w:wAfter w:w="10" w:type="dxa"/>
          <w:trHeight w:val="1245"/>
        </w:trPr>
        <w:tc>
          <w:tcPr>
            <w:tcW w:w="5111" w:type="dxa"/>
            <w:gridSpan w:val="12"/>
            <w:shd w:val="clear" w:color="auto" w:fill="FFFFFF"/>
          </w:tcPr>
          <w:p w:rsidR="002C4F03" w:rsidRPr="008B4FE6" w:rsidRDefault="00BA279B" w:rsidP="00AE6CF8">
            <w:pPr>
              <w:spacing w:line="240" w:lineRule="auto"/>
              <w:rPr>
                <w:color w:val="000000"/>
                <w:spacing w:val="-2"/>
              </w:rPr>
            </w:pPr>
            <w:sdt>
              <w:sdtPr>
                <w:rPr>
                  <w:color w:val="000000"/>
                  <w:spacing w:val="-2"/>
                  <w:sz w:val="16"/>
                  <w:szCs w:val="16"/>
                </w:rPr>
                <w:id w:val="-1646118103"/>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zmniejszenie liczby dokumentów</w:t>
            </w:r>
            <w:r w:rsidR="002C4F03">
              <w:rPr>
                <w:color w:val="000000"/>
                <w:spacing w:val="-2"/>
              </w:rPr>
              <w:t xml:space="preserve"> </w:t>
            </w:r>
          </w:p>
          <w:p w:rsidR="002C4F03" w:rsidRPr="008B4FE6" w:rsidRDefault="00BA279B" w:rsidP="00AE6CF8">
            <w:pPr>
              <w:spacing w:line="240" w:lineRule="auto"/>
              <w:rPr>
                <w:color w:val="000000"/>
                <w:spacing w:val="-2"/>
              </w:rPr>
            </w:pPr>
            <w:sdt>
              <w:sdtPr>
                <w:rPr>
                  <w:color w:val="000000"/>
                  <w:spacing w:val="-2"/>
                </w:rPr>
                <w:id w:val="1876505849"/>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zmniejszenie liczby procedur</w:t>
            </w:r>
          </w:p>
          <w:p w:rsidR="002C4F03" w:rsidRDefault="00BA279B" w:rsidP="00AE6CF8">
            <w:pPr>
              <w:spacing w:line="240" w:lineRule="auto"/>
              <w:rPr>
                <w:color w:val="000000"/>
                <w:spacing w:val="-2"/>
              </w:rPr>
            </w:pPr>
            <w:sdt>
              <w:sdtPr>
                <w:rPr>
                  <w:color w:val="000000"/>
                  <w:spacing w:val="-2"/>
                </w:rPr>
                <w:id w:val="-2082051990"/>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skrócenie czasu</w:t>
            </w:r>
            <w:r w:rsidR="002C4F03">
              <w:rPr>
                <w:color w:val="000000"/>
                <w:spacing w:val="-2"/>
              </w:rPr>
              <w:t xml:space="preserve"> na załatwienie sprawy</w:t>
            </w:r>
          </w:p>
          <w:p w:rsidR="002C4F03" w:rsidRPr="008B4FE6" w:rsidRDefault="00BA279B" w:rsidP="007415D0">
            <w:pPr>
              <w:rPr>
                <w:b/>
                <w:color w:val="000000"/>
                <w:spacing w:val="-2"/>
              </w:rPr>
            </w:pPr>
            <w:sdt>
              <w:sdtPr>
                <w:rPr>
                  <w:color w:val="000000"/>
                  <w:spacing w:val="-2"/>
                </w:rPr>
                <w:id w:val="2112540246"/>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inne:</w:t>
            </w:r>
            <w:r w:rsidR="002C4F03" w:rsidRPr="008B4FE6">
              <w:rPr>
                <w:color w:val="000000"/>
              </w:rPr>
              <w:t xml:space="preserve"> </w:t>
            </w:r>
            <w:r w:rsidR="002C4F03">
              <w:rPr>
                <w:color w:val="000000"/>
              </w:rPr>
              <w:t>…</w:t>
            </w:r>
          </w:p>
        </w:tc>
        <w:tc>
          <w:tcPr>
            <w:tcW w:w="5826" w:type="dxa"/>
            <w:gridSpan w:val="17"/>
            <w:shd w:val="clear" w:color="auto" w:fill="FFFFFF"/>
          </w:tcPr>
          <w:p w:rsidR="002C4F03" w:rsidRPr="008B4FE6" w:rsidRDefault="00BA279B" w:rsidP="00AE6CF8">
            <w:pPr>
              <w:spacing w:line="240" w:lineRule="auto"/>
              <w:rPr>
                <w:color w:val="000000"/>
                <w:spacing w:val="-2"/>
              </w:rPr>
            </w:pPr>
            <w:sdt>
              <w:sdtPr>
                <w:rPr>
                  <w:color w:val="000000"/>
                  <w:spacing w:val="-2"/>
                </w:rPr>
                <w:id w:val="2104995084"/>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zwiększenie liczby dokumentów</w:t>
            </w:r>
          </w:p>
          <w:p w:rsidR="002C4F03" w:rsidRPr="008B4FE6" w:rsidRDefault="00BA279B" w:rsidP="00AE6CF8">
            <w:pPr>
              <w:spacing w:line="240" w:lineRule="auto"/>
              <w:rPr>
                <w:color w:val="000000"/>
                <w:spacing w:val="-2"/>
              </w:rPr>
            </w:pPr>
            <w:sdt>
              <w:sdtPr>
                <w:rPr>
                  <w:color w:val="000000"/>
                </w:rPr>
                <w:id w:val="762415844"/>
              </w:sdtPr>
              <w:sdtEndPr/>
              <w:sdtContent>
                <w:r w:rsidR="002C4F03">
                  <w:rPr>
                    <w:rFonts w:ascii="MS Gothic" w:eastAsia="MS Gothic" w:hAnsi="MS Gothic" w:hint="eastAsia"/>
                    <w:color w:val="000000"/>
                  </w:rPr>
                  <w:t>☐</w:t>
                </w:r>
              </w:sdtContent>
            </w:sdt>
            <w:r w:rsidR="002C4F03">
              <w:rPr>
                <w:color w:val="000000"/>
              </w:rPr>
              <w:t xml:space="preserve"> </w:t>
            </w:r>
            <w:r w:rsidR="002C4F03" w:rsidRPr="008B4FE6">
              <w:rPr>
                <w:color w:val="000000"/>
                <w:spacing w:val="-2"/>
              </w:rPr>
              <w:t>zwiększenie liczby procedur</w:t>
            </w:r>
          </w:p>
          <w:p w:rsidR="002C4F03" w:rsidRPr="008B4FE6" w:rsidRDefault="00BA279B" w:rsidP="00AE6CF8">
            <w:pPr>
              <w:spacing w:line="240" w:lineRule="auto"/>
              <w:rPr>
                <w:color w:val="000000"/>
                <w:spacing w:val="-2"/>
              </w:rPr>
            </w:pPr>
            <w:sdt>
              <w:sdtPr>
                <w:rPr>
                  <w:color w:val="000000"/>
                  <w:spacing w:val="-2"/>
                </w:rPr>
                <w:id w:val="-357036351"/>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wydłużenie czasu</w:t>
            </w:r>
            <w:r w:rsidR="002C4F03">
              <w:rPr>
                <w:color w:val="000000"/>
                <w:spacing w:val="-2"/>
              </w:rPr>
              <w:t xml:space="preserve"> na załatwienie sprawy</w:t>
            </w:r>
          </w:p>
          <w:p w:rsidR="002C4F03" w:rsidRPr="008B4FE6" w:rsidRDefault="00BA279B" w:rsidP="00AE6CF8">
            <w:pPr>
              <w:spacing w:line="240" w:lineRule="auto"/>
              <w:rPr>
                <w:color w:val="000000"/>
              </w:rPr>
            </w:pPr>
            <w:sdt>
              <w:sdtPr>
                <w:rPr>
                  <w:color w:val="000000"/>
                  <w:spacing w:val="-2"/>
                </w:rPr>
                <w:id w:val="1149557140"/>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inne:</w:t>
            </w:r>
            <w:r w:rsidR="002C4F03" w:rsidRPr="008B4FE6">
              <w:rPr>
                <w:color w:val="000000"/>
              </w:rPr>
              <w:t xml:space="preserve"> </w:t>
            </w:r>
            <w:r w:rsidR="002C4F03">
              <w:rPr>
                <w:color w:val="000000"/>
              </w:rPr>
              <w:t>…</w:t>
            </w:r>
          </w:p>
          <w:p w:rsidR="002C4F03" w:rsidRPr="008B4FE6" w:rsidRDefault="002C4F03" w:rsidP="00AE6CF8">
            <w:pPr>
              <w:spacing w:line="240" w:lineRule="auto"/>
              <w:rPr>
                <w:color w:val="000000"/>
              </w:rPr>
            </w:pPr>
          </w:p>
        </w:tc>
      </w:tr>
      <w:tr w:rsidR="002C4F03" w:rsidRPr="008B4FE6" w:rsidTr="00676C8D">
        <w:trPr>
          <w:gridAfter w:val="1"/>
          <w:wAfter w:w="10" w:type="dxa"/>
          <w:trHeight w:val="870"/>
        </w:trPr>
        <w:tc>
          <w:tcPr>
            <w:tcW w:w="5111" w:type="dxa"/>
            <w:gridSpan w:val="12"/>
            <w:shd w:val="clear" w:color="auto" w:fill="FFFFFF"/>
          </w:tcPr>
          <w:p w:rsidR="002C4F03" w:rsidRPr="008B4FE6" w:rsidRDefault="002C4F03" w:rsidP="004F4E17">
            <w:pPr>
              <w:spacing w:line="240" w:lineRule="auto"/>
              <w:rPr>
                <w:color w:val="000000"/>
              </w:rPr>
            </w:pPr>
            <w:r>
              <w:rPr>
                <w:color w:val="000000"/>
                <w:spacing w:val="-2"/>
              </w:rPr>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 xml:space="preserve">przystosowane do ich elektronizacji. </w:t>
            </w:r>
          </w:p>
        </w:tc>
        <w:tc>
          <w:tcPr>
            <w:tcW w:w="5826" w:type="dxa"/>
            <w:gridSpan w:val="17"/>
            <w:shd w:val="clear" w:color="auto" w:fill="FFFFFF"/>
          </w:tcPr>
          <w:p w:rsidR="002C4F03" w:rsidRDefault="00BA279B" w:rsidP="00BF0DA2">
            <w:pPr>
              <w:spacing w:line="240" w:lineRule="auto"/>
              <w:rPr>
                <w:color w:val="000000"/>
              </w:rPr>
            </w:pPr>
            <w:sdt>
              <w:sdtPr>
                <w:rPr>
                  <w:color w:val="000000"/>
                </w:rPr>
                <w:id w:val="297268939"/>
              </w:sdtPr>
              <w:sdtEndPr/>
              <w:sdtContent>
                <w:r w:rsidR="002C4F03">
                  <w:rPr>
                    <w:rFonts w:ascii="MS Gothic" w:eastAsia="MS Gothic" w:hAnsi="MS Gothic" w:hint="eastAsia"/>
                    <w:color w:val="000000"/>
                  </w:rPr>
                  <w:t>☐</w:t>
                </w:r>
              </w:sdtContent>
            </w:sdt>
            <w:r w:rsidR="002C4F03">
              <w:rPr>
                <w:color w:val="000000"/>
              </w:rPr>
              <w:t xml:space="preserve"> tak</w:t>
            </w:r>
          </w:p>
          <w:p w:rsidR="002C4F03" w:rsidRDefault="00BA279B" w:rsidP="00BF0DA2">
            <w:pPr>
              <w:spacing w:line="240" w:lineRule="auto"/>
              <w:rPr>
                <w:color w:val="000000"/>
              </w:rPr>
            </w:pPr>
            <w:sdt>
              <w:sdtPr>
                <w:rPr>
                  <w:color w:val="000000"/>
                </w:rPr>
                <w:id w:val="-1887021666"/>
              </w:sdtPr>
              <w:sdtEndPr/>
              <w:sdtContent>
                <w:r w:rsidR="002C4F03">
                  <w:rPr>
                    <w:rFonts w:ascii="MS Gothic" w:eastAsia="MS Gothic" w:hAnsi="MS Gothic" w:hint="eastAsia"/>
                    <w:color w:val="000000"/>
                  </w:rPr>
                  <w:t>☐</w:t>
                </w:r>
              </w:sdtContent>
            </w:sdt>
            <w:r w:rsidR="002C4F03">
              <w:rPr>
                <w:color w:val="000000"/>
              </w:rPr>
              <w:t xml:space="preserve"> nie</w:t>
            </w:r>
          </w:p>
          <w:p w:rsidR="002C4F03" w:rsidRDefault="00BA279B" w:rsidP="00BF0DA2">
            <w:pPr>
              <w:spacing w:line="240" w:lineRule="auto"/>
              <w:rPr>
                <w:color w:val="000000"/>
              </w:rPr>
            </w:pPr>
            <w:sdt>
              <w:sdtPr>
                <w:rPr>
                  <w:color w:val="000000"/>
                </w:rPr>
                <w:id w:val="1904862519"/>
              </w:sdtPr>
              <w:sdtEndPr/>
              <w:sdtContent>
                <w:r w:rsidR="002C4F03">
                  <w:rPr>
                    <w:color w:val="000000"/>
                  </w:rPr>
                  <w:fldChar w:fldCharType="begin">
                    <w:ffData>
                      <w:name w:val=""/>
                      <w:enabled/>
                      <w:calcOnExit w:val="0"/>
                      <w:checkBox>
                        <w:sizeAuto/>
                        <w:default w:val="1"/>
                      </w:checkBox>
                    </w:ffData>
                  </w:fldChar>
                </w:r>
                <w:r w:rsidR="002C4F03">
                  <w:rPr>
                    <w:color w:val="000000"/>
                  </w:rPr>
                  <w:instrText xml:space="preserve"> FORMCHECKBOX </w:instrText>
                </w:r>
                <w:r>
                  <w:rPr>
                    <w:color w:val="000000"/>
                  </w:rPr>
                </w:r>
                <w:r>
                  <w:rPr>
                    <w:color w:val="000000"/>
                  </w:rPr>
                  <w:fldChar w:fldCharType="separate"/>
                </w:r>
                <w:r w:rsidR="002C4F03">
                  <w:rPr>
                    <w:color w:val="000000"/>
                  </w:rPr>
                  <w:fldChar w:fldCharType="end"/>
                </w:r>
                <w:r w:rsidR="002C4F03">
                  <w:rPr>
                    <w:color w:val="000000"/>
                  </w:rPr>
                  <w:t xml:space="preserve"> </w:t>
                </w:r>
              </w:sdtContent>
            </w:sdt>
            <w:r w:rsidR="002C4F03">
              <w:rPr>
                <w:color w:val="000000"/>
              </w:rPr>
              <w:t xml:space="preserve"> nie dotyczy</w:t>
            </w:r>
          </w:p>
          <w:p w:rsidR="002C4F03" w:rsidRPr="008B4FE6" w:rsidRDefault="002C4F03" w:rsidP="00BF0DA2">
            <w:pPr>
              <w:spacing w:line="240" w:lineRule="auto"/>
              <w:rPr>
                <w:color w:val="000000"/>
              </w:rPr>
            </w:pPr>
          </w:p>
        </w:tc>
      </w:tr>
      <w:tr w:rsidR="002C4F03" w:rsidRPr="008B4FE6" w:rsidTr="00676C8D">
        <w:trPr>
          <w:gridAfter w:val="1"/>
          <w:wAfter w:w="10" w:type="dxa"/>
          <w:trHeight w:val="630"/>
        </w:trPr>
        <w:tc>
          <w:tcPr>
            <w:tcW w:w="10937" w:type="dxa"/>
            <w:gridSpan w:val="29"/>
            <w:shd w:val="clear" w:color="auto" w:fill="FFFFFF"/>
          </w:tcPr>
          <w:p w:rsidR="002C4F03" w:rsidRPr="008B4FE6" w:rsidRDefault="002C4F03" w:rsidP="000378B4">
            <w:pPr>
              <w:spacing w:line="240" w:lineRule="auto"/>
              <w:jc w:val="both"/>
              <w:rPr>
                <w:color w:val="000000"/>
              </w:rPr>
            </w:pPr>
            <w:r>
              <w:rPr>
                <w:color w:val="000000"/>
              </w:rPr>
              <w:t>Komentarz:</w:t>
            </w:r>
          </w:p>
        </w:tc>
      </w:tr>
      <w:tr w:rsidR="002C4F03" w:rsidRPr="008B4FE6" w:rsidTr="00676C8D">
        <w:trPr>
          <w:gridAfter w:val="1"/>
          <w:wAfter w:w="10" w:type="dxa"/>
          <w:trHeight w:val="142"/>
        </w:trPr>
        <w:tc>
          <w:tcPr>
            <w:tcW w:w="10937" w:type="dxa"/>
            <w:gridSpan w:val="29"/>
            <w:shd w:val="clear" w:color="auto" w:fill="99CCFF"/>
          </w:tcPr>
          <w:p w:rsidR="002C4F03" w:rsidRPr="008B4FE6" w:rsidRDefault="002C4F03" w:rsidP="002C4F03">
            <w:pPr>
              <w:widowControl/>
              <w:numPr>
                <w:ilvl w:val="0"/>
                <w:numId w:val="47"/>
              </w:numPr>
              <w:autoSpaceDE/>
              <w:autoSpaceDN/>
              <w:adjustRightInd/>
              <w:spacing w:before="60" w:after="60" w:line="240" w:lineRule="auto"/>
              <w:jc w:val="both"/>
              <w:rPr>
                <w:b/>
                <w:color w:val="000000"/>
              </w:rPr>
            </w:pPr>
            <w:r w:rsidRPr="008B4FE6">
              <w:rPr>
                <w:b/>
                <w:color w:val="000000"/>
              </w:rPr>
              <w:t xml:space="preserve">Wpływ na rynek pracy </w:t>
            </w:r>
          </w:p>
        </w:tc>
      </w:tr>
      <w:tr w:rsidR="002C4F03" w:rsidRPr="008B4FE6" w:rsidTr="00676C8D">
        <w:trPr>
          <w:gridAfter w:val="1"/>
          <w:wAfter w:w="10" w:type="dxa"/>
          <w:trHeight w:val="142"/>
        </w:trPr>
        <w:tc>
          <w:tcPr>
            <w:tcW w:w="10937" w:type="dxa"/>
            <w:gridSpan w:val="29"/>
            <w:shd w:val="clear" w:color="auto" w:fill="auto"/>
          </w:tcPr>
          <w:p w:rsidR="002C4F03" w:rsidRPr="008B4FE6" w:rsidRDefault="002C4F03" w:rsidP="00B37C80">
            <w:pPr>
              <w:spacing w:line="240" w:lineRule="auto"/>
              <w:jc w:val="both"/>
              <w:rPr>
                <w:color w:val="000000"/>
              </w:rPr>
            </w:pPr>
          </w:p>
          <w:p w:rsidR="002C4F03" w:rsidRPr="008B4FE6" w:rsidRDefault="002C4F03" w:rsidP="00B37C80">
            <w:pPr>
              <w:spacing w:line="240" w:lineRule="auto"/>
              <w:jc w:val="both"/>
              <w:rPr>
                <w:color w:val="000000"/>
              </w:rPr>
            </w:pPr>
            <w:r>
              <w:rPr>
                <w:color w:val="000000"/>
              </w:rPr>
              <w:t>Wejście w życie projektowanego rozporządzenia nie wpłynie na rynek pracy.</w:t>
            </w:r>
          </w:p>
          <w:p w:rsidR="002C4F03" w:rsidRPr="008B4FE6" w:rsidRDefault="002C4F03" w:rsidP="00B37C80">
            <w:pPr>
              <w:spacing w:line="240" w:lineRule="auto"/>
              <w:jc w:val="both"/>
              <w:rPr>
                <w:color w:val="000000"/>
              </w:rPr>
            </w:pPr>
          </w:p>
        </w:tc>
      </w:tr>
      <w:tr w:rsidR="002C4F03" w:rsidRPr="008B4FE6" w:rsidTr="00676C8D">
        <w:trPr>
          <w:gridAfter w:val="1"/>
          <w:wAfter w:w="10" w:type="dxa"/>
          <w:trHeight w:val="142"/>
        </w:trPr>
        <w:tc>
          <w:tcPr>
            <w:tcW w:w="10937" w:type="dxa"/>
            <w:gridSpan w:val="29"/>
            <w:shd w:val="clear" w:color="auto" w:fill="99CCFF"/>
          </w:tcPr>
          <w:p w:rsidR="002C4F03" w:rsidRPr="008B4FE6" w:rsidRDefault="002C4F03" w:rsidP="002C4F03">
            <w:pPr>
              <w:widowControl/>
              <w:numPr>
                <w:ilvl w:val="0"/>
                <w:numId w:val="47"/>
              </w:numPr>
              <w:autoSpaceDE/>
              <w:autoSpaceDN/>
              <w:adjustRightInd/>
              <w:spacing w:before="60" w:after="60" w:line="240" w:lineRule="auto"/>
              <w:jc w:val="both"/>
              <w:rPr>
                <w:b/>
                <w:color w:val="000000"/>
              </w:rPr>
            </w:pPr>
            <w:r w:rsidRPr="008B4FE6">
              <w:rPr>
                <w:b/>
                <w:color w:val="000000"/>
              </w:rPr>
              <w:t>Wpływ na pozostałe obszary</w:t>
            </w:r>
          </w:p>
        </w:tc>
      </w:tr>
      <w:tr w:rsidR="002C4F03" w:rsidRPr="008B4FE6" w:rsidTr="00676C8D">
        <w:trPr>
          <w:gridAfter w:val="1"/>
          <w:wAfter w:w="10" w:type="dxa"/>
          <w:trHeight w:val="1031"/>
        </w:trPr>
        <w:tc>
          <w:tcPr>
            <w:tcW w:w="3547" w:type="dxa"/>
            <w:gridSpan w:val="5"/>
            <w:shd w:val="clear" w:color="auto" w:fill="FFFFFF"/>
          </w:tcPr>
          <w:p w:rsidR="002C4F03" w:rsidRPr="008B4FE6" w:rsidRDefault="002C4F03" w:rsidP="00254DED">
            <w:pPr>
              <w:spacing w:line="240" w:lineRule="auto"/>
              <w:rPr>
                <w:color w:val="000000"/>
              </w:rPr>
            </w:pPr>
          </w:p>
          <w:p w:rsidR="002C4F03" w:rsidRPr="008B4FE6" w:rsidRDefault="002C4F03" w:rsidP="00254DED">
            <w:pPr>
              <w:spacing w:line="240" w:lineRule="auto"/>
              <w:rPr>
                <w:color w:val="000000"/>
                <w:spacing w:val="-2"/>
              </w:rPr>
            </w:pPr>
            <w:r>
              <w:rPr>
                <w:color w:val="000000"/>
              </w:rPr>
              <w:fldChar w:fldCharType="begin">
                <w:ffData>
                  <w:name w:val=""/>
                  <w:enabled/>
                  <w:calcOnExit w:val="0"/>
                  <w:checkBox>
                    <w:sizeAuto/>
                    <w:default w:val="1"/>
                  </w:checkBox>
                </w:ffData>
              </w:fldChar>
            </w:r>
            <w:r>
              <w:rPr>
                <w:color w:val="000000"/>
              </w:rPr>
              <w:instrText xml:space="preserve"> FORMCHECKBOX </w:instrText>
            </w:r>
            <w:r w:rsidR="00BA279B">
              <w:rPr>
                <w:color w:val="000000"/>
              </w:rPr>
            </w:r>
            <w:r w:rsidR="00BA279B">
              <w:rPr>
                <w:color w:val="000000"/>
              </w:rPr>
              <w:fldChar w:fldCharType="separate"/>
            </w:r>
            <w:r>
              <w:rPr>
                <w:color w:val="000000"/>
              </w:rPr>
              <w:fldChar w:fldCharType="end"/>
            </w:r>
            <w:r>
              <w:rPr>
                <w:color w:val="000000"/>
              </w:rPr>
              <w:t xml:space="preserve"> </w:t>
            </w:r>
            <w:r w:rsidRPr="008B4FE6">
              <w:rPr>
                <w:color w:val="000000"/>
                <w:spacing w:val="-2"/>
              </w:rPr>
              <w:t>środowisko naturalne</w:t>
            </w:r>
          </w:p>
          <w:p w:rsidR="002C4F03" w:rsidRDefault="00BA279B" w:rsidP="006A701A">
            <w:pPr>
              <w:spacing w:line="240" w:lineRule="auto"/>
              <w:rPr>
                <w:color w:val="000000"/>
              </w:rPr>
            </w:pPr>
            <w:sdt>
              <w:sdtPr>
                <w:rPr>
                  <w:color w:val="000000"/>
                </w:rPr>
                <w:id w:val="-1888785328"/>
              </w:sdtPr>
              <w:sdtEndPr/>
              <w:sdtContent>
                <w:r w:rsidR="002C4F03">
                  <w:rPr>
                    <w:rFonts w:ascii="MS Gothic" w:eastAsia="MS Gothic" w:hAnsi="MS Gothic" w:hint="eastAsia"/>
                    <w:color w:val="000000"/>
                  </w:rPr>
                  <w:t>☐</w:t>
                </w:r>
              </w:sdtContent>
            </w:sdt>
            <w:r w:rsidR="002C4F03">
              <w:rPr>
                <w:color w:val="000000"/>
              </w:rPr>
              <w:t xml:space="preserve"> </w:t>
            </w:r>
            <w:r w:rsidR="002C4F03" w:rsidRPr="008B4FE6">
              <w:rPr>
                <w:color w:val="000000"/>
              </w:rPr>
              <w:t>sytuacja i rozwój regionalny</w:t>
            </w:r>
          </w:p>
          <w:p w:rsidR="002C4F03" w:rsidRPr="008B4FE6" w:rsidRDefault="00BA279B" w:rsidP="007415D0">
            <w:pPr>
              <w:spacing w:line="240" w:lineRule="auto"/>
              <w:rPr>
                <w:color w:val="000000"/>
                <w:spacing w:val="-2"/>
              </w:rPr>
            </w:pPr>
            <w:sdt>
              <w:sdtPr>
                <w:rPr>
                  <w:color w:val="000000"/>
                  <w:spacing w:val="-2"/>
                </w:rPr>
                <w:id w:val="366884454"/>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 xml:space="preserve">inne: </w:t>
            </w:r>
            <w:r w:rsidR="002C4F03">
              <w:rPr>
                <w:color w:val="000000"/>
              </w:rPr>
              <w:t>…</w:t>
            </w:r>
          </w:p>
        </w:tc>
        <w:tc>
          <w:tcPr>
            <w:tcW w:w="3687" w:type="dxa"/>
            <w:gridSpan w:val="15"/>
            <w:shd w:val="clear" w:color="auto" w:fill="FFFFFF"/>
          </w:tcPr>
          <w:p w:rsidR="002C4F03" w:rsidRPr="008B4FE6" w:rsidRDefault="002C4F03" w:rsidP="00254DED">
            <w:pPr>
              <w:spacing w:line="240" w:lineRule="auto"/>
              <w:rPr>
                <w:color w:val="000000"/>
              </w:rPr>
            </w:pPr>
          </w:p>
          <w:p w:rsidR="002C4F03" w:rsidRPr="008B4FE6" w:rsidRDefault="00BA279B" w:rsidP="00254DED">
            <w:pPr>
              <w:spacing w:line="240" w:lineRule="auto"/>
              <w:rPr>
                <w:color w:val="000000"/>
                <w:spacing w:val="-2"/>
              </w:rPr>
            </w:pPr>
            <w:sdt>
              <w:sdtPr>
                <w:rPr>
                  <w:color w:val="000000"/>
                  <w:spacing w:val="-2"/>
                </w:rPr>
                <w:id w:val="-1170861332"/>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demografia</w:t>
            </w:r>
          </w:p>
          <w:p w:rsidR="002C4F03" w:rsidRPr="008B4FE6" w:rsidRDefault="00BA279B" w:rsidP="006A701A">
            <w:pPr>
              <w:spacing w:line="240" w:lineRule="auto"/>
              <w:rPr>
                <w:color w:val="000000"/>
              </w:rPr>
            </w:pPr>
            <w:sdt>
              <w:sdtPr>
                <w:rPr>
                  <w:color w:val="000000"/>
                </w:rPr>
                <w:id w:val="1090503991"/>
              </w:sdtPr>
              <w:sdtEndPr/>
              <w:sdtContent>
                <w:r w:rsidR="002C4F03">
                  <w:rPr>
                    <w:rFonts w:ascii="MS Gothic" w:eastAsia="MS Gothic" w:hAnsi="MS Gothic" w:hint="eastAsia"/>
                    <w:color w:val="000000"/>
                  </w:rPr>
                  <w:t>☐</w:t>
                </w:r>
              </w:sdtContent>
            </w:sdt>
            <w:r w:rsidR="002C4F03">
              <w:rPr>
                <w:color w:val="000000"/>
              </w:rPr>
              <w:t xml:space="preserve"> mienie państwowe</w:t>
            </w:r>
          </w:p>
        </w:tc>
        <w:tc>
          <w:tcPr>
            <w:tcW w:w="3703" w:type="dxa"/>
            <w:gridSpan w:val="9"/>
            <w:shd w:val="clear" w:color="auto" w:fill="FFFFFF"/>
          </w:tcPr>
          <w:p w:rsidR="002C4F03" w:rsidRPr="008B4FE6" w:rsidRDefault="002C4F03" w:rsidP="006A701A">
            <w:pPr>
              <w:spacing w:line="240" w:lineRule="auto"/>
              <w:rPr>
                <w:color w:val="000000"/>
              </w:rPr>
            </w:pPr>
          </w:p>
          <w:p w:rsidR="002C4F03" w:rsidRDefault="00BA279B" w:rsidP="006A701A">
            <w:pPr>
              <w:spacing w:line="240" w:lineRule="auto"/>
              <w:rPr>
                <w:color w:val="000000"/>
                <w:spacing w:val="-2"/>
              </w:rPr>
            </w:pPr>
            <w:sdt>
              <w:sdtPr>
                <w:rPr>
                  <w:color w:val="000000"/>
                  <w:spacing w:val="-2"/>
                </w:rPr>
                <w:id w:val="1485042436"/>
              </w:sdtPr>
              <w:sdtEndPr/>
              <w:sdtContent>
                <w:r w:rsidR="002C4F03">
                  <w:rPr>
                    <w:rFonts w:ascii="MS Gothic" w:eastAsia="MS Gothic" w:hAnsi="MS Gothic" w:hint="eastAsia"/>
                    <w:color w:val="000000"/>
                    <w:spacing w:val="-2"/>
                  </w:rPr>
                  <w:t>☐</w:t>
                </w:r>
              </w:sdtContent>
            </w:sdt>
            <w:r w:rsidR="002C4F03">
              <w:rPr>
                <w:color w:val="000000"/>
                <w:spacing w:val="-2"/>
              </w:rPr>
              <w:t xml:space="preserve"> </w:t>
            </w:r>
            <w:r w:rsidR="002C4F03" w:rsidRPr="008B4FE6">
              <w:rPr>
                <w:color w:val="000000"/>
                <w:spacing w:val="-2"/>
              </w:rPr>
              <w:t>informatyzacja</w:t>
            </w:r>
          </w:p>
          <w:p w:rsidR="002C4F03" w:rsidRPr="008B4FE6" w:rsidRDefault="00BA279B" w:rsidP="00070B5A">
            <w:pPr>
              <w:spacing w:line="240" w:lineRule="auto"/>
              <w:rPr>
                <w:color w:val="000000"/>
              </w:rPr>
            </w:pPr>
            <w:sdt>
              <w:sdtPr>
                <w:rPr>
                  <w:color w:val="000000"/>
                  <w:spacing w:val="-2"/>
                </w:rPr>
                <w:id w:val="1705911400"/>
              </w:sdtPr>
              <w:sdtEndPr/>
              <w:sdtContent>
                <w:r w:rsidR="002C4F03">
                  <w:rPr>
                    <w:rFonts w:ascii="MS Gothic" w:eastAsia="MS Gothic" w:hAnsi="MS Gothic" w:hint="eastAsia"/>
                    <w:color w:val="000000"/>
                    <w:spacing w:val="-2"/>
                  </w:rPr>
                  <w:t>☐</w:t>
                </w:r>
              </w:sdtContent>
            </w:sdt>
            <w:r w:rsidR="002C4F03">
              <w:rPr>
                <w:color w:val="000000"/>
                <w:spacing w:val="-2"/>
              </w:rPr>
              <w:t xml:space="preserve"> zdrowie</w:t>
            </w:r>
          </w:p>
        </w:tc>
      </w:tr>
      <w:tr w:rsidR="002C4F03" w:rsidRPr="008B4FE6" w:rsidTr="00676C8D">
        <w:trPr>
          <w:gridAfter w:val="1"/>
          <w:wAfter w:w="10" w:type="dxa"/>
          <w:trHeight w:val="712"/>
        </w:trPr>
        <w:tc>
          <w:tcPr>
            <w:tcW w:w="2243" w:type="dxa"/>
            <w:gridSpan w:val="2"/>
            <w:shd w:val="clear" w:color="auto" w:fill="FFFFFF"/>
            <w:vAlign w:val="center"/>
          </w:tcPr>
          <w:p w:rsidR="002C4F03" w:rsidRPr="008B4FE6" w:rsidRDefault="002C4F03" w:rsidP="00254DED">
            <w:pPr>
              <w:spacing w:line="240" w:lineRule="auto"/>
              <w:rPr>
                <w:color w:val="000000"/>
              </w:rPr>
            </w:pPr>
            <w:r w:rsidRPr="008B4FE6">
              <w:rPr>
                <w:color w:val="000000"/>
              </w:rPr>
              <w:t>Omówienie wpływu</w:t>
            </w:r>
          </w:p>
        </w:tc>
        <w:tc>
          <w:tcPr>
            <w:tcW w:w="8694" w:type="dxa"/>
            <w:gridSpan w:val="27"/>
            <w:shd w:val="clear" w:color="auto" w:fill="FFFFFF"/>
            <w:vAlign w:val="center"/>
          </w:tcPr>
          <w:p w:rsidR="002C4F03" w:rsidRPr="008B4FE6" w:rsidRDefault="002C4F03" w:rsidP="0051624E">
            <w:pPr>
              <w:spacing w:line="240" w:lineRule="auto"/>
              <w:jc w:val="both"/>
              <w:rPr>
                <w:color w:val="000000"/>
                <w:spacing w:val="-2"/>
              </w:rPr>
            </w:pPr>
            <w:r>
              <w:rPr>
                <w:color w:val="000000"/>
                <w:spacing w:val="-2"/>
              </w:rPr>
              <w:t>Określenie wymagań dla rozmieszczenia ładunku,  sposobu jego zabezpieczenia oraz urządzeń służących do mocowania ładunku wpłyną pozytywnie na ochronę środowiska naturalnego.</w:t>
            </w:r>
          </w:p>
        </w:tc>
      </w:tr>
      <w:tr w:rsidR="002C4F03" w:rsidRPr="008B4FE6" w:rsidTr="00676C8D">
        <w:trPr>
          <w:gridAfter w:val="1"/>
          <w:wAfter w:w="10" w:type="dxa"/>
          <w:trHeight w:val="142"/>
        </w:trPr>
        <w:tc>
          <w:tcPr>
            <w:tcW w:w="10937" w:type="dxa"/>
            <w:gridSpan w:val="29"/>
            <w:shd w:val="clear" w:color="auto" w:fill="99CCFF"/>
          </w:tcPr>
          <w:p w:rsidR="002C4F03" w:rsidRPr="00627221" w:rsidRDefault="002C4F03" w:rsidP="002C4F03">
            <w:pPr>
              <w:widowControl/>
              <w:numPr>
                <w:ilvl w:val="0"/>
                <w:numId w:val="47"/>
              </w:numPr>
              <w:autoSpaceDE/>
              <w:autoSpaceDN/>
              <w:adjustRightInd/>
              <w:spacing w:before="60" w:after="60" w:line="240" w:lineRule="auto"/>
              <w:ind w:left="318" w:hanging="284"/>
              <w:jc w:val="both"/>
              <w:rPr>
                <w:b/>
              </w:rPr>
            </w:pPr>
            <w:r>
              <w:rPr>
                <w:b/>
                <w:spacing w:val="-2"/>
                <w:sz w:val="21"/>
                <w:szCs w:val="21"/>
              </w:rPr>
              <w:t>Planowane w</w:t>
            </w:r>
            <w:r w:rsidRPr="00627221">
              <w:rPr>
                <w:b/>
                <w:spacing w:val="-2"/>
                <w:sz w:val="21"/>
                <w:szCs w:val="21"/>
              </w:rPr>
              <w:t>ykonani</w:t>
            </w:r>
            <w:r>
              <w:rPr>
                <w:b/>
                <w:spacing w:val="-2"/>
                <w:sz w:val="21"/>
                <w:szCs w:val="21"/>
              </w:rPr>
              <w:t>e</w:t>
            </w:r>
            <w:r w:rsidRPr="00627221">
              <w:rPr>
                <w:b/>
                <w:spacing w:val="-2"/>
                <w:sz w:val="21"/>
                <w:szCs w:val="21"/>
              </w:rPr>
              <w:t xml:space="preserve"> przepisów aktu prawnego</w:t>
            </w:r>
          </w:p>
        </w:tc>
      </w:tr>
      <w:tr w:rsidR="002C4F03" w:rsidRPr="008B4FE6" w:rsidTr="00676C8D">
        <w:trPr>
          <w:gridAfter w:val="1"/>
          <w:wAfter w:w="10" w:type="dxa"/>
          <w:trHeight w:val="142"/>
        </w:trPr>
        <w:tc>
          <w:tcPr>
            <w:tcW w:w="10937" w:type="dxa"/>
            <w:gridSpan w:val="29"/>
            <w:shd w:val="clear" w:color="auto" w:fill="FFFFFF"/>
          </w:tcPr>
          <w:p w:rsidR="002C4F03" w:rsidRDefault="002C4F03" w:rsidP="00B37C80">
            <w:pPr>
              <w:spacing w:line="240" w:lineRule="auto"/>
              <w:jc w:val="both"/>
              <w:rPr>
                <w:spacing w:val="-2"/>
              </w:rPr>
            </w:pPr>
          </w:p>
          <w:p w:rsidR="002C4F03" w:rsidRDefault="002C4F03" w:rsidP="00920569">
            <w:pPr>
              <w:spacing w:line="240" w:lineRule="auto"/>
              <w:jc w:val="both"/>
              <w:rPr>
                <w:spacing w:val="-2"/>
              </w:rPr>
            </w:pPr>
            <w:r w:rsidRPr="0021446D">
              <w:rPr>
                <w:spacing w:val="-2"/>
              </w:rPr>
              <w:t>Wejście w życie rozporządzeni</w:t>
            </w:r>
            <w:r>
              <w:rPr>
                <w:spacing w:val="-2"/>
              </w:rPr>
              <w:t xml:space="preserve">a po upływie 14 dni od dnia ogłoszenia. </w:t>
            </w:r>
          </w:p>
          <w:p w:rsidR="002C4F03" w:rsidRPr="00B37C80" w:rsidRDefault="002C4F03" w:rsidP="00920569">
            <w:pPr>
              <w:spacing w:line="240" w:lineRule="auto"/>
              <w:jc w:val="both"/>
              <w:rPr>
                <w:spacing w:val="-2"/>
              </w:rPr>
            </w:pPr>
          </w:p>
        </w:tc>
      </w:tr>
      <w:tr w:rsidR="002C4F03" w:rsidRPr="008B4FE6" w:rsidTr="00676C8D">
        <w:trPr>
          <w:gridAfter w:val="1"/>
          <w:wAfter w:w="10" w:type="dxa"/>
          <w:trHeight w:val="142"/>
        </w:trPr>
        <w:tc>
          <w:tcPr>
            <w:tcW w:w="10937" w:type="dxa"/>
            <w:gridSpan w:val="29"/>
            <w:shd w:val="clear" w:color="auto" w:fill="99CCFF"/>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rPr>
            </w:pPr>
            <w:r w:rsidRPr="008B4FE6">
              <w:rPr>
                <w:b/>
                <w:color w:val="000000"/>
              </w:rPr>
              <w:t xml:space="preserve"> </w:t>
            </w:r>
            <w:r>
              <w:rPr>
                <w:b/>
                <w:spacing w:val="-2"/>
                <w:sz w:val="21"/>
                <w:szCs w:val="21"/>
              </w:rPr>
              <w:t xml:space="preserve">W jaki sposób i kiedy </w:t>
            </w:r>
            <w:r w:rsidRPr="0063060B">
              <w:rPr>
                <w:b/>
                <w:spacing w:val="-2"/>
                <w:sz w:val="21"/>
                <w:szCs w:val="21"/>
              </w:rPr>
              <w:t xml:space="preserve">nastąpi ewaluacja efektów projektu </w:t>
            </w:r>
            <w:r>
              <w:rPr>
                <w:b/>
                <w:spacing w:val="-2"/>
                <w:sz w:val="21"/>
                <w:szCs w:val="21"/>
              </w:rPr>
              <w:t>oraz</w:t>
            </w:r>
            <w:r w:rsidRPr="0063060B">
              <w:rPr>
                <w:b/>
                <w:spacing w:val="-2"/>
                <w:sz w:val="21"/>
                <w:szCs w:val="21"/>
              </w:rPr>
              <w:t xml:space="preserve"> jakie mierniki zostaną zastosowane</w:t>
            </w:r>
            <w:r>
              <w:rPr>
                <w:b/>
                <w:spacing w:val="-2"/>
                <w:sz w:val="21"/>
                <w:szCs w:val="21"/>
              </w:rPr>
              <w:t>?</w:t>
            </w:r>
          </w:p>
        </w:tc>
      </w:tr>
      <w:tr w:rsidR="002C4F03" w:rsidRPr="008B4FE6" w:rsidTr="00676C8D">
        <w:trPr>
          <w:gridAfter w:val="1"/>
          <w:wAfter w:w="10" w:type="dxa"/>
          <w:trHeight w:val="142"/>
        </w:trPr>
        <w:tc>
          <w:tcPr>
            <w:tcW w:w="10937" w:type="dxa"/>
            <w:gridSpan w:val="29"/>
            <w:shd w:val="clear" w:color="auto" w:fill="FFFFFF"/>
          </w:tcPr>
          <w:p w:rsidR="002C4F03" w:rsidRDefault="002C4F03" w:rsidP="00B37C80">
            <w:pPr>
              <w:spacing w:line="240" w:lineRule="auto"/>
              <w:jc w:val="both"/>
              <w:rPr>
                <w:color w:val="000000"/>
                <w:spacing w:val="-2"/>
              </w:rPr>
            </w:pPr>
          </w:p>
          <w:p w:rsidR="002C4F03" w:rsidRDefault="002C4F03" w:rsidP="00B37C80">
            <w:pPr>
              <w:spacing w:line="240" w:lineRule="auto"/>
              <w:jc w:val="both"/>
              <w:rPr>
                <w:color w:val="000000"/>
                <w:spacing w:val="-2"/>
              </w:rPr>
            </w:pPr>
            <w:r>
              <w:rPr>
                <w:color w:val="000000"/>
                <w:spacing w:val="-2"/>
              </w:rPr>
              <w:t>Nie przewiduje się ewaluacji efektów projektu.</w:t>
            </w:r>
          </w:p>
          <w:p w:rsidR="002C4F03" w:rsidRPr="00B37C80" w:rsidRDefault="002C4F03" w:rsidP="00B37C80">
            <w:pPr>
              <w:spacing w:line="240" w:lineRule="auto"/>
              <w:jc w:val="both"/>
              <w:rPr>
                <w:color w:val="000000"/>
                <w:spacing w:val="-2"/>
              </w:rPr>
            </w:pPr>
          </w:p>
        </w:tc>
      </w:tr>
      <w:tr w:rsidR="002C4F03" w:rsidRPr="008B4FE6" w:rsidTr="00676C8D">
        <w:trPr>
          <w:gridAfter w:val="1"/>
          <w:wAfter w:w="10" w:type="dxa"/>
          <w:trHeight w:val="142"/>
        </w:trPr>
        <w:tc>
          <w:tcPr>
            <w:tcW w:w="10937" w:type="dxa"/>
            <w:gridSpan w:val="29"/>
            <w:shd w:val="clear" w:color="auto" w:fill="99CCFF"/>
          </w:tcPr>
          <w:p w:rsidR="002C4F03" w:rsidRPr="008B4FE6" w:rsidRDefault="002C4F03" w:rsidP="002C4F03">
            <w:pPr>
              <w:widowControl/>
              <w:numPr>
                <w:ilvl w:val="0"/>
                <w:numId w:val="47"/>
              </w:numPr>
              <w:autoSpaceDE/>
              <w:autoSpaceDN/>
              <w:adjustRightInd/>
              <w:spacing w:before="60" w:after="60" w:line="240" w:lineRule="auto"/>
              <w:ind w:left="318" w:hanging="284"/>
              <w:jc w:val="both"/>
              <w:rPr>
                <w:b/>
                <w:color w:val="000000"/>
                <w:spacing w:val="-2"/>
              </w:rPr>
            </w:pPr>
            <w:r w:rsidRPr="008B4FE6">
              <w:rPr>
                <w:b/>
                <w:color w:val="000000"/>
                <w:spacing w:val="-2"/>
              </w:rPr>
              <w:lastRenderedPageBreak/>
              <w:t xml:space="preserve">Załączniki </w:t>
            </w:r>
            <w:r w:rsidRPr="0063060B">
              <w:rPr>
                <w:b/>
                <w:spacing w:val="-2"/>
                <w:sz w:val="21"/>
                <w:szCs w:val="21"/>
              </w:rPr>
              <w:t>(</w:t>
            </w:r>
            <w:r>
              <w:rPr>
                <w:b/>
                <w:spacing w:val="-2"/>
                <w:sz w:val="21"/>
                <w:szCs w:val="21"/>
              </w:rPr>
              <w:t xml:space="preserve">istotne </w:t>
            </w:r>
            <w:r w:rsidRPr="0063060B">
              <w:rPr>
                <w:b/>
                <w:spacing w:val="-2"/>
                <w:sz w:val="21"/>
                <w:szCs w:val="21"/>
              </w:rPr>
              <w:t>dokumenty źródłowe,</w:t>
            </w:r>
            <w:r>
              <w:rPr>
                <w:b/>
                <w:spacing w:val="-2"/>
                <w:sz w:val="21"/>
                <w:szCs w:val="21"/>
              </w:rPr>
              <w:t xml:space="preserve"> badania, analizy itp.</w:t>
            </w:r>
            <w:r w:rsidRPr="008B4FE6">
              <w:rPr>
                <w:b/>
                <w:color w:val="000000"/>
                <w:spacing w:val="-2"/>
              </w:rPr>
              <w:t xml:space="preserve">) </w:t>
            </w:r>
          </w:p>
        </w:tc>
      </w:tr>
      <w:tr w:rsidR="002C4F03" w:rsidRPr="008B4FE6" w:rsidTr="00676C8D">
        <w:trPr>
          <w:gridAfter w:val="1"/>
          <w:wAfter w:w="10" w:type="dxa"/>
          <w:trHeight w:val="142"/>
        </w:trPr>
        <w:tc>
          <w:tcPr>
            <w:tcW w:w="10937" w:type="dxa"/>
            <w:gridSpan w:val="29"/>
            <w:shd w:val="clear" w:color="auto" w:fill="FFFFFF"/>
          </w:tcPr>
          <w:p w:rsidR="002C4F03" w:rsidRPr="00B37C80" w:rsidRDefault="002C4F03" w:rsidP="00B37C80">
            <w:pPr>
              <w:spacing w:line="240" w:lineRule="auto"/>
              <w:jc w:val="both"/>
              <w:rPr>
                <w:i/>
                <w:color w:val="000000"/>
                <w:spacing w:val="-2"/>
                <w:sz w:val="18"/>
                <w:szCs w:val="18"/>
              </w:rPr>
            </w:pPr>
          </w:p>
          <w:p w:rsidR="002C4F03" w:rsidRPr="00B37C80" w:rsidRDefault="002C4F03" w:rsidP="00B37C80">
            <w:pPr>
              <w:spacing w:line="240" w:lineRule="auto"/>
              <w:jc w:val="both"/>
              <w:rPr>
                <w:color w:val="000000"/>
                <w:spacing w:val="-2"/>
              </w:rPr>
            </w:pPr>
            <w:r>
              <w:rPr>
                <w:color w:val="000000"/>
                <w:spacing w:val="-2"/>
              </w:rPr>
              <w:t>Brak.</w:t>
            </w:r>
          </w:p>
          <w:p w:rsidR="002C4F03" w:rsidRPr="00B37C80" w:rsidRDefault="002C4F03" w:rsidP="00B37C80">
            <w:pPr>
              <w:spacing w:line="240" w:lineRule="auto"/>
              <w:jc w:val="both"/>
              <w:rPr>
                <w:color w:val="000000"/>
                <w:spacing w:val="-2"/>
              </w:rPr>
            </w:pPr>
          </w:p>
        </w:tc>
      </w:tr>
    </w:tbl>
    <w:p w:rsidR="002C4F03" w:rsidRDefault="002C4F03" w:rsidP="00154966">
      <w:pPr>
        <w:pStyle w:val="Nagwek1"/>
        <w:rPr>
          <w:rFonts w:ascii="Times New Roman" w:hAnsi="Times New Roman"/>
          <w:sz w:val="20"/>
          <w:szCs w:val="20"/>
        </w:rPr>
        <w:sectPr w:rsidR="002C4F03" w:rsidSect="00725DE7">
          <w:pgSz w:w="11906" w:h="16838"/>
          <w:pgMar w:top="568" w:right="707" w:bottom="568" w:left="720" w:header="708" w:footer="290" w:gutter="0"/>
          <w:cols w:space="708"/>
          <w:docGrid w:linePitch="360"/>
        </w:sectPr>
      </w:pPr>
      <w:r>
        <w:rPr>
          <w:rFonts w:ascii="Times New Roman" w:hAnsi="Times New Roman"/>
          <w:sz w:val="20"/>
          <w:szCs w:val="20"/>
        </w:rPr>
        <w:t xml:space="preserve"> </w:t>
      </w:r>
    </w:p>
    <w:p w:rsidR="002C4F03" w:rsidRDefault="002C4F03" w:rsidP="004B2312">
      <w:pPr>
        <w:jc w:val="center"/>
      </w:pPr>
      <w:r>
        <w:lastRenderedPageBreak/>
        <w:t>TABELA ZGODNOŚCI</w:t>
      </w:r>
    </w:p>
    <w:p w:rsidR="002C4F03" w:rsidRDefault="002C4F03" w:rsidP="004B2312">
      <w:pPr>
        <w:shd w:val="clear" w:color="auto" w:fill="FFFFFF" w:themeFill="background1"/>
        <w:rPr>
          <w:highlight w:val="cyan"/>
        </w:rPr>
      </w:pPr>
    </w:p>
    <w:p w:rsidR="002C4F03" w:rsidRDefault="002C4F03" w:rsidP="004B2312">
      <w:pPr>
        <w:shd w:val="clear" w:color="auto" w:fill="FFFFFF" w:themeFill="background1"/>
        <w:jc w:val="right"/>
        <w:rPr>
          <w:highlight w:val="cyan"/>
        </w:r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438"/>
        <w:gridCol w:w="103"/>
        <w:gridCol w:w="1514"/>
        <w:gridCol w:w="897"/>
        <w:gridCol w:w="4820"/>
        <w:gridCol w:w="2021"/>
      </w:tblGrid>
      <w:tr w:rsidR="002C4F03" w:rsidRPr="00040CF1" w:rsidTr="0000602C">
        <w:tc>
          <w:tcPr>
            <w:tcW w:w="5255" w:type="dxa"/>
            <w:gridSpan w:val="2"/>
            <w:tcBorders>
              <w:top w:val="single" w:sz="4" w:space="0" w:color="auto"/>
              <w:left w:val="single" w:sz="4" w:space="0" w:color="auto"/>
              <w:bottom w:val="single" w:sz="4" w:space="0" w:color="auto"/>
              <w:right w:val="single" w:sz="4" w:space="0" w:color="auto"/>
            </w:tcBorders>
            <w:hideMark/>
          </w:tcPr>
          <w:p w:rsidR="002C4F03" w:rsidRPr="00987398" w:rsidRDefault="002C4F03" w:rsidP="00987398">
            <w:r w:rsidRPr="00987398">
              <w:rPr>
                <w:b/>
                <w:szCs w:val="22"/>
              </w:rPr>
              <w:t>TYTUŁ PROJEKTU</w:t>
            </w:r>
            <w:r w:rsidRPr="00987398">
              <w:rPr>
                <w:szCs w:val="22"/>
              </w:rPr>
              <w:t>:</w:t>
            </w:r>
          </w:p>
        </w:tc>
        <w:tc>
          <w:tcPr>
            <w:tcW w:w="9355" w:type="dxa"/>
            <w:gridSpan w:val="5"/>
            <w:tcBorders>
              <w:top w:val="single" w:sz="4" w:space="0" w:color="auto"/>
              <w:left w:val="single" w:sz="4" w:space="0" w:color="auto"/>
              <w:bottom w:val="single" w:sz="4" w:space="0" w:color="auto"/>
              <w:right w:val="single" w:sz="4" w:space="0" w:color="auto"/>
            </w:tcBorders>
            <w:hideMark/>
          </w:tcPr>
          <w:p w:rsidR="002C4F03" w:rsidRPr="006D54A9" w:rsidRDefault="002C4F03" w:rsidP="00B7231B">
            <w:pPr>
              <w:rPr>
                <w:b/>
              </w:rPr>
            </w:pPr>
            <w:r w:rsidRPr="006D54A9">
              <w:rPr>
                <w:szCs w:val="22"/>
              </w:rPr>
              <w:t>Rozporządzenie Ministra Infrastruktury i Budownictwa w sprawie</w:t>
            </w:r>
            <w:r w:rsidRPr="006D54A9">
              <w:rPr>
                <w:color w:val="000000"/>
                <w:szCs w:val="22"/>
              </w:rPr>
              <w:t xml:space="preserve"> sposobu przewozu ładunku</w:t>
            </w:r>
          </w:p>
        </w:tc>
      </w:tr>
      <w:tr w:rsidR="002C4F03" w:rsidRPr="00B7231B" w:rsidTr="0000602C">
        <w:tc>
          <w:tcPr>
            <w:tcW w:w="5255" w:type="dxa"/>
            <w:gridSpan w:val="2"/>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vertAlign w:val="superscript"/>
              </w:rPr>
            </w:pPr>
            <w:r w:rsidRPr="00987398">
              <w:rPr>
                <w:b/>
                <w:szCs w:val="22"/>
              </w:rPr>
              <w:t>TYTUŁ WDRAŻANEGO AKTU PRAWNEGO</w:t>
            </w:r>
            <w:r w:rsidRPr="00987398">
              <w:rPr>
                <w:szCs w:val="22"/>
              </w:rPr>
              <w:t xml:space="preserve"> </w:t>
            </w:r>
          </w:p>
        </w:tc>
        <w:tc>
          <w:tcPr>
            <w:tcW w:w="9355" w:type="dxa"/>
            <w:gridSpan w:val="5"/>
            <w:tcBorders>
              <w:top w:val="single" w:sz="4" w:space="0" w:color="auto"/>
              <w:left w:val="single" w:sz="4" w:space="0" w:color="auto"/>
              <w:bottom w:val="single" w:sz="4" w:space="0" w:color="auto"/>
              <w:right w:val="single" w:sz="4" w:space="0" w:color="auto"/>
            </w:tcBorders>
            <w:hideMark/>
          </w:tcPr>
          <w:p w:rsidR="002C4F03" w:rsidRPr="006D54A9" w:rsidRDefault="002C4F03" w:rsidP="0063440A">
            <w:pPr>
              <w:ind w:left="-10" w:firstLine="10"/>
              <w:rPr>
                <w:rFonts w:eastAsiaTheme="minorHAnsi" w:cs="Times New Roman"/>
                <w:bCs/>
                <w:sz w:val="22"/>
                <w:szCs w:val="22"/>
                <w:lang w:eastAsia="en-US"/>
              </w:rPr>
            </w:pPr>
            <w:r w:rsidRPr="006D54A9">
              <w:rPr>
                <w:rFonts w:eastAsia="Times New Roman" w:cs="Times New Roman"/>
                <w:sz w:val="22"/>
                <w:szCs w:val="22"/>
              </w:rPr>
              <w:t>Dyrektywa Parlamentu</w:t>
            </w:r>
            <w:r w:rsidRPr="006D54A9">
              <w:rPr>
                <w:rFonts w:eastAsiaTheme="minorHAnsi" w:cs="Times New Roman"/>
                <w:bCs/>
                <w:sz w:val="22"/>
                <w:szCs w:val="22"/>
                <w:lang w:eastAsia="en-US"/>
              </w:rPr>
              <w:t xml:space="preserve"> Europejskiego i Rady 2014/47/UE z dnia 3 kwietnia 2014 r. w sprawie drogowej kontroli technicznej dotyczącej zdatności do ruchu drogowego pojazdów użytkowych poruszających się w Unii oraz uchylającej dyrektywę 2000/30/WE (Dz. Urz. UE L 127 z 29.04.2014, str. 134).</w:t>
            </w:r>
          </w:p>
        </w:tc>
      </w:tr>
      <w:tr w:rsidR="002C4F03" w:rsidRPr="00040CF1" w:rsidTr="0000602C">
        <w:tc>
          <w:tcPr>
            <w:tcW w:w="5255" w:type="dxa"/>
            <w:gridSpan w:val="2"/>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rPr>
            </w:pPr>
            <w:r w:rsidRPr="00987398">
              <w:rPr>
                <w:b/>
                <w:szCs w:val="22"/>
              </w:rPr>
              <w:t>WYJAŚNIENIE TERMINU WEJŚCIA W ŻYCIE PROJEKTU</w:t>
            </w:r>
          </w:p>
        </w:tc>
        <w:tc>
          <w:tcPr>
            <w:tcW w:w="9355" w:type="dxa"/>
            <w:gridSpan w:val="5"/>
            <w:tcBorders>
              <w:top w:val="single" w:sz="4" w:space="0" w:color="auto"/>
              <w:left w:val="single" w:sz="4" w:space="0" w:color="auto"/>
              <w:bottom w:val="single" w:sz="4" w:space="0" w:color="auto"/>
              <w:right w:val="single" w:sz="4" w:space="0" w:color="auto"/>
            </w:tcBorders>
            <w:hideMark/>
          </w:tcPr>
          <w:p w:rsidR="002C4F03" w:rsidRDefault="002C4F03" w:rsidP="00EF0994">
            <w:pPr>
              <w:jc w:val="both"/>
            </w:pPr>
            <w:r w:rsidRPr="008547BD">
              <w:t xml:space="preserve">Rozporządzenie wchodzi w życie po upływie </w:t>
            </w:r>
            <w:r>
              <w:t>14</w:t>
            </w:r>
            <w:r w:rsidRPr="008547BD">
              <w:t xml:space="preserve"> dni od dnia ogłoszenia.</w:t>
            </w:r>
            <w:r>
              <w:t xml:space="preserve"> </w:t>
            </w:r>
          </w:p>
          <w:p w:rsidR="002C4F03" w:rsidRPr="00EF0994" w:rsidRDefault="002C4F03" w:rsidP="00EF0994">
            <w:pPr>
              <w:jc w:val="both"/>
              <w:rPr>
                <w:sz w:val="18"/>
                <w:szCs w:val="18"/>
              </w:rPr>
            </w:pPr>
            <w:r>
              <w:t xml:space="preserve">Termin wejścia w życie projektu wynika z art. 4 ust. 1 </w:t>
            </w:r>
            <w:r w:rsidRPr="00EF0994">
              <w:rPr>
                <w:i/>
              </w:rPr>
              <w:t xml:space="preserve">ustawy </w:t>
            </w:r>
            <w:r w:rsidRPr="00EF0994">
              <w:rPr>
                <w:i/>
                <w:sz w:val="23"/>
                <w:szCs w:val="23"/>
              </w:rPr>
              <w:t xml:space="preserve">z dnia 20 lipca 2000 r. </w:t>
            </w:r>
            <w:r>
              <w:rPr>
                <w:i/>
                <w:sz w:val="23"/>
                <w:szCs w:val="23"/>
              </w:rPr>
              <w:br/>
            </w:r>
            <w:r w:rsidRPr="00EF0994">
              <w:rPr>
                <w:bCs/>
                <w:i/>
                <w:sz w:val="23"/>
                <w:szCs w:val="23"/>
              </w:rPr>
              <w:t>o ogłaszaniu aktów normatywnych i niektórych innych aktów prawnych</w:t>
            </w:r>
            <w:r>
              <w:rPr>
                <w:bCs/>
                <w:sz w:val="23"/>
                <w:szCs w:val="23"/>
              </w:rPr>
              <w:t xml:space="preserve"> który stanowi, że </w:t>
            </w:r>
            <w:r>
              <w:rPr>
                <w:sz w:val="23"/>
                <w:szCs w:val="23"/>
              </w:rPr>
              <w:t>akty normatywne, zawierające przepisy powszechnie obowiązujące, ogłaszane w dziennikach urzędowych wchodzą w życie po upływie czternastu dni od dnia ich ogłoszenia, chyba że dany akt normatywny określi termin dłuższy.</w:t>
            </w:r>
          </w:p>
        </w:tc>
      </w:tr>
      <w:tr w:rsidR="002C4F03" w:rsidRPr="00987398" w:rsidTr="0000602C">
        <w:trPr>
          <w:trHeight w:val="550"/>
        </w:trPr>
        <w:tc>
          <w:tcPr>
            <w:tcW w:w="14610" w:type="dxa"/>
            <w:gridSpan w:val="7"/>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jc w:val="center"/>
              <w:rPr>
                <w:b/>
                <w:vertAlign w:val="superscript"/>
              </w:rPr>
            </w:pPr>
            <w:r w:rsidRPr="00987398">
              <w:rPr>
                <w:b/>
                <w:szCs w:val="22"/>
              </w:rPr>
              <w:t>PRZEPISY UNII EUROPEJSKIEJ</w:t>
            </w:r>
          </w:p>
        </w:tc>
      </w:tr>
      <w:tr w:rsidR="002C4F03" w:rsidRPr="00987398" w:rsidTr="0000602C">
        <w:tc>
          <w:tcPr>
            <w:tcW w:w="817" w:type="dxa"/>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rPr>
            </w:pPr>
            <w:r w:rsidRPr="00987398">
              <w:rPr>
                <w:b/>
                <w:szCs w:val="22"/>
              </w:rPr>
              <w:t>Jedn. Red.</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vertAlign w:val="superscript"/>
              </w:rPr>
            </w:pPr>
            <w:r w:rsidRPr="00987398">
              <w:rPr>
                <w:b/>
                <w:szCs w:val="22"/>
              </w:rPr>
              <w:t>Treść przepisu UE</w:t>
            </w:r>
          </w:p>
        </w:tc>
        <w:tc>
          <w:tcPr>
            <w:tcW w:w="1514" w:type="dxa"/>
            <w:tcBorders>
              <w:top w:val="single" w:sz="4" w:space="0" w:color="auto"/>
              <w:left w:val="single" w:sz="4" w:space="0" w:color="auto"/>
              <w:bottom w:val="single" w:sz="4" w:space="0" w:color="auto"/>
              <w:right w:val="single" w:sz="4" w:space="0" w:color="auto"/>
            </w:tcBorders>
          </w:tcPr>
          <w:p w:rsidR="002C4F03" w:rsidRPr="00987398" w:rsidRDefault="002C4F03" w:rsidP="00987398">
            <w:pPr>
              <w:rPr>
                <w:b/>
              </w:rPr>
            </w:pPr>
            <w:r w:rsidRPr="00987398">
              <w:rPr>
                <w:b/>
                <w:szCs w:val="22"/>
              </w:rPr>
              <w:t>Konieczność wdrożenia</w:t>
            </w:r>
          </w:p>
          <w:p w:rsidR="002C4F03" w:rsidRPr="00987398" w:rsidRDefault="002C4F03" w:rsidP="00987398">
            <w:pPr>
              <w:rPr>
                <w:b/>
              </w:rPr>
            </w:pPr>
          </w:p>
          <w:p w:rsidR="002C4F03" w:rsidRPr="00987398" w:rsidRDefault="002C4F03" w:rsidP="00987398">
            <w:pPr>
              <w:jc w:val="center"/>
            </w:pPr>
            <w:r w:rsidRPr="00987398">
              <w:rPr>
                <w:b/>
                <w:szCs w:val="22"/>
              </w:rPr>
              <w:t>T / N</w:t>
            </w:r>
          </w:p>
        </w:tc>
        <w:tc>
          <w:tcPr>
            <w:tcW w:w="897" w:type="dxa"/>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rPr>
            </w:pPr>
            <w:r w:rsidRPr="00987398">
              <w:rPr>
                <w:b/>
                <w:szCs w:val="22"/>
              </w:rPr>
              <w:t>Jedn. red. (*)</w:t>
            </w:r>
          </w:p>
        </w:tc>
        <w:tc>
          <w:tcPr>
            <w:tcW w:w="4820" w:type="dxa"/>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rPr>
            </w:pPr>
            <w:r w:rsidRPr="00987398">
              <w:rPr>
                <w:b/>
                <w:szCs w:val="22"/>
              </w:rPr>
              <w:t>Treść przepisu/ów projektu (*)</w:t>
            </w:r>
          </w:p>
        </w:tc>
        <w:tc>
          <w:tcPr>
            <w:tcW w:w="2021" w:type="dxa"/>
            <w:tcBorders>
              <w:top w:val="single" w:sz="4" w:space="0" w:color="auto"/>
              <w:left w:val="single" w:sz="4" w:space="0" w:color="auto"/>
              <w:bottom w:val="single" w:sz="4" w:space="0" w:color="auto"/>
              <w:right w:val="single" w:sz="4" w:space="0" w:color="auto"/>
            </w:tcBorders>
            <w:hideMark/>
          </w:tcPr>
          <w:p w:rsidR="002C4F03" w:rsidRPr="00987398" w:rsidRDefault="002C4F03" w:rsidP="00987398">
            <w:pPr>
              <w:rPr>
                <w:b/>
              </w:rPr>
            </w:pPr>
            <w:r w:rsidRPr="00987398">
              <w:rPr>
                <w:b/>
                <w:szCs w:val="22"/>
              </w:rPr>
              <w:t>Uzasadnienie</w:t>
            </w:r>
          </w:p>
        </w:tc>
      </w:tr>
      <w:tr w:rsidR="002C4F03" w:rsidRPr="00090767" w:rsidTr="00B7231B">
        <w:trPr>
          <w:trHeight w:val="1842"/>
        </w:trPr>
        <w:tc>
          <w:tcPr>
            <w:tcW w:w="81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987398">
            <w:r w:rsidRPr="006D54A9">
              <w:rPr>
                <w:szCs w:val="22"/>
              </w:rPr>
              <w:lastRenderedPageBreak/>
              <w:t>Załącznik III pkt 1.1.</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1. Zabezpieczenie ładunku musi oprzeć się następującym siłom wynikającym z przyspieszenia/zmniejszenia prędkości pojazdu: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w kierunku jazdy: 0,8 razy waga ładunku, oraz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w kierunku bocznym: 0,5 razy waga ładunku, oraz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w kierunku przeciwnym do kierunku jazdy: 0,5 razy waga ładunku, </w:t>
            </w:r>
          </w:p>
          <w:p w:rsidR="002C4F03" w:rsidRPr="006D54A9" w:rsidRDefault="002C4F03" w:rsidP="00A651E5">
            <w:pPr>
              <w:spacing w:after="153" w:line="240" w:lineRule="auto"/>
              <w:rPr>
                <w:rFonts w:cs="Times New Roman"/>
                <w:sz w:val="22"/>
                <w:szCs w:val="22"/>
              </w:rPr>
            </w:pPr>
            <w:r w:rsidRPr="006D54A9">
              <w:rPr>
                <w:rFonts w:cs="Times New Roman"/>
                <w:sz w:val="22"/>
                <w:szCs w:val="22"/>
              </w:rPr>
              <w:t>— oraz ogólnie musi zapobiegać przechyleniu się lub wywróceniu ładunku.</w:t>
            </w:r>
          </w:p>
        </w:tc>
        <w:tc>
          <w:tcPr>
            <w:tcW w:w="1514" w:type="dxa"/>
            <w:tcBorders>
              <w:top w:val="single" w:sz="4" w:space="0" w:color="auto"/>
              <w:left w:val="single" w:sz="4" w:space="0" w:color="auto"/>
              <w:bottom w:val="single" w:sz="4" w:space="0" w:color="auto"/>
              <w:right w:val="single" w:sz="4" w:space="0" w:color="auto"/>
            </w:tcBorders>
          </w:tcPr>
          <w:p w:rsidR="002C4F03" w:rsidRPr="006D54A9" w:rsidRDefault="002C4F03" w:rsidP="00125FD1">
            <w:pPr>
              <w:jc w:val="center"/>
              <w:rPr>
                <w:b/>
              </w:rPr>
            </w:pPr>
            <w:r w:rsidRPr="006D54A9">
              <w:rPr>
                <w:b/>
                <w:szCs w:val="22"/>
              </w:rPr>
              <w:t>T</w:t>
            </w:r>
          </w:p>
        </w:tc>
        <w:tc>
          <w:tcPr>
            <w:tcW w:w="897" w:type="dxa"/>
            <w:tcBorders>
              <w:top w:val="single" w:sz="4" w:space="0" w:color="auto"/>
              <w:left w:val="single" w:sz="4" w:space="0" w:color="auto"/>
              <w:bottom w:val="single" w:sz="4" w:space="0" w:color="auto"/>
              <w:right w:val="single" w:sz="4" w:space="0" w:color="auto"/>
            </w:tcBorders>
            <w:hideMark/>
          </w:tcPr>
          <w:p w:rsidR="002C4F03" w:rsidRPr="00EB5F5A" w:rsidRDefault="002C4F03" w:rsidP="004A3E0F">
            <w:pPr>
              <w:spacing w:line="240" w:lineRule="auto"/>
            </w:pPr>
            <w:r w:rsidRPr="004120FA">
              <w:t>§ </w:t>
            </w:r>
            <w:r>
              <w:t xml:space="preserve">1 ust. 2 pkt 1 </w:t>
            </w:r>
            <w:r>
              <w:br/>
              <w:t xml:space="preserve">i ust. 3 </w:t>
            </w:r>
          </w:p>
          <w:p w:rsidR="002C4F03" w:rsidRPr="00EB5F5A" w:rsidRDefault="002C4F03" w:rsidP="004A3E0F">
            <w:r w:rsidRPr="00EB5F5A">
              <w:rPr>
                <w:szCs w:val="22"/>
              </w:rPr>
              <w:t>projektu</w:t>
            </w:r>
          </w:p>
        </w:tc>
        <w:tc>
          <w:tcPr>
            <w:tcW w:w="4820" w:type="dxa"/>
            <w:tcBorders>
              <w:top w:val="single" w:sz="4" w:space="0" w:color="auto"/>
              <w:left w:val="single" w:sz="4" w:space="0" w:color="auto"/>
              <w:bottom w:val="single" w:sz="4" w:space="0" w:color="auto"/>
              <w:right w:val="single" w:sz="4" w:space="0" w:color="auto"/>
            </w:tcBorders>
            <w:hideMark/>
          </w:tcPr>
          <w:p w:rsidR="002C4F03" w:rsidRPr="00BE0D74" w:rsidRDefault="002C4F03" w:rsidP="00D053E1">
            <w:pPr>
              <w:spacing w:line="240" w:lineRule="auto"/>
              <w:rPr>
                <w:b/>
              </w:rPr>
            </w:pPr>
            <w:r w:rsidRPr="00BE0D74">
              <w:rPr>
                <w:b/>
              </w:rPr>
              <w:t>§ </w:t>
            </w:r>
            <w:r>
              <w:rPr>
                <w:b/>
              </w:rPr>
              <w:t>1</w:t>
            </w:r>
            <w:r w:rsidRPr="00BE0D74">
              <w:rPr>
                <w:b/>
              </w:rPr>
              <w:t xml:space="preserve"> ust. 2 pkt 1 i ust. 3</w:t>
            </w:r>
          </w:p>
          <w:p w:rsidR="002C4F03" w:rsidRPr="00E632F0" w:rsidRDefault="002C4F03" w:rsidP="00D053E1">
            <w:pPr>
              <w:spacing w:line="240" w:lineRule="auto"/>
            </w:pPr>
            <w:r>
              <w:t xml:space="preserve">2. </w:t>
            </w:r>
            <w:r w:rsidRPr="00E632F0">
              <w:t>Ładunek powinien być:</w:t>
            </w:r>
          </w:p>
          <w:p w:rsidR="002C4F03" w:rsidRPr="00463C33" w:rsidRDefault="002C4F03" w:rsidP="00D053E1">
            <w:pPr>
              <w:spacing w:line="240" w:lineRule="auto"/>
            </w:pPr>
            <w:r w:rsidRPr="00463C33">
              <w:t xml:space="preserve">1) </w:t>
            </w:r>
            <w:r>
              <w:tab/>
            </w:r>
            <w:r w:rsidRPr="00463C33">
              <w:t xml:space="preserve">umieszczony na pojeździe w sposób uniemożliwiający jego przemieszczanie podczas </w:t>
            </w:r>
            <w:r>
              <w:t xml:space="preserve">przewozu </w:t>
            </w:r>
            <w:r w:rsidRPr="00463C33">
              <w:t>w wyniku sił działających na ładunek</w:t>
            </w:r>
            <w:r>
              <w:t>;</w:t>
            </w:r>
          </w:p>
          <w:p w:rsidR="002C4F03" w:rsidRPr="00BE0D74" w:rsidRDefault="002C4F03" w:rsidP="00D053E1">
            <w:pPr>
              <w:spacing w:line="240" w:lineRule="auto"/>
              <w:rPr>
                <w:b/>
              </w:rPr>
            </w:pPr>
          </w:p>
          <w:p w:rsidR="002C4F03" w:rsidRDefault="002C4F03" w:rsidP="00BE0D74">
            <w:pPr>
              <w:spacing w:line="240" w:lineRule="auto"/>
            </w:pPr>
            <w:r>
              <w:t xml:space="preserve">3. </w:t>
            </w:r>
            <w:r w:rsidRPr="00E632F0">
              <w:t>Ładunek</w:t>
            </w:r>
            <w:r>
              <w:t>,</w:t>
            </w:r>
            <w:r w:rsidRPr="00BE0D74">
              <w:t xml:space="preserve"> </w:t>
            </w:r>
            <w:r w:rsidRPr="00B73AF7">
              <w:t>umieszczony na pojeździe</w:t>
            </w:r>
            <w:r>
              <w:t>,</w:t>
            </w:r>
            <w:r w:rsidRPr="00B73AF7">
              <w:t xml:space="preserve"> powinien być zabezpieczony </w:t>
            </w:r>
            <w:r>
              <w:t>w sposób uniemożliwiający jego przechylenie się albo wywrócenie oraz pozwalający stawić opór następującym siłom wynikającym z  przyspieszenia</w:t>
            </w:r>
            <w:r w:rsidRPr="00F81AF0">
              <w:t xml:space="preserve"> albo </w:t>
            </w:r>
            <w:r>
              <w:t>hamowania:</w:t>
            </w:r>
          </w:p>
          <w:p w:rsidR="002C4F03" w:rsidRDefault="002C4F03" w:rsidP="00BE0D74">
            <w:pPr>
              <w:spacing w:line="240" w:lineRule="auto"/>
              <w:ind w:left="453"/>
            </w:pPr>
            <w:r>
              <w:t xml:space="preserve"> 1)    </w:t>
            </w:r>
            <w:r w:rsidRPr="00F81AF0">
              <w:rPr>
                <w:rFonts w:hint="eastAsia"/>
              </w:rPr>
              <w:t>w kierunku jazdy: 0,8 razy waga ładunku, oraz</w:t>
            </w:r>
          </w:p>
          <w:p w:rsidR="002C4F03" w:rsidRDefault="002C4F03" w:rsidP="00BE0D74">
            <w:pPr>
              <w:spacing w:line="240" w:lineRule="auto"/>
            </w:pPr>
            <w:r>
              <w:t>2)</w:t>
            </w:r>
            <w:r w:rsidRPr="00F81AF0">
              <w:rPr>
                <w:rFonts w:hint="eastAsia"/>
              </w:rPr>
              <w:t> </w:t>
            </w:r>
            <w:r>
              <w:t xml:space="preserve"> </w:t>
            </w:r>
            <w:r w:rsidRPr="00F81AF0">
              <w:rPr>
                <w:rFonts w:hint="eastAsia"/>
              </w:rPr>
              <w:t>w kierunku bocznym: 0,5 razy waga ładunku, oraz</w:t>
            </w:r>
          </w:p>
          <w:p w:rsidR="002C4F03" w:rsidRDefault="002C4F03" w:rsidP="00BE0D74">
            <w:pPr>
              <w:spacing w:line="240" w:lineRule="auto"/>
            </w:pPr>
            <w:r>
              <w:t xml:space="preserve">3)   </w:t>
            </w:r>
            <w:r w:rsidRPr="00F81AF0">
              <w:rPr>
                <w:rFonts w:hint="eastAsia"/>
              </w:rPr>
              <w:t>w kierunku przeciwnym do kierun</w:t>
            </w:r>
            <w:r>
              <w:rPr>
                <w:rFonts w:hint="eastAsia"/>
              </w:rPr>
              <w:t>ku jazdy: 0,5 razy waga ładunku</w:t>
            </w:r>
            <w:r>
              <w:t>.</w:t>
            </w:r>
          </w:p>
          <w:p w:rsidR="002C4F03" w:rsidRPr="00F068D6" w:rsidRDefault="002C4F03" w:rsidP="00F068D6">
            <w:pPr>
              <w:spacing w:line="240" w:lineRule="auto"/>
            </w:pPr>
          </w:p>
        </w:tc>
        <w:tc>
          <w:tcPr>
            <w:tcW w:w="2021" w:type="dxa"/>
            <w:tcBorders>
              <w:top w:val="single" w:sz="4" w:space="0" w:color="auto"/>
              <w:left w:val="single" w:sz="4" w:space="0" w:color="auto"/>
              <w:bottom w:val="single" w:sz="4" w:space="0" w:color="auto"/>
              <w:right w:val="single" w:sz="4" w:space="0" w:color="auto"/>
            </w:tcBorders>
            <w:hideMark/>
          </w:tcPr>
          <w:p w:rsidR="002C4F03" w:rsidRDefault="002C4F03" w:rsidP="00865938">
            <w:pPr>
              <w:jc w:val="center"/>
              <w:rPr>
                <w:b/>
              </w:rPr>
            </w:pPr>
            <w:r>
              <w:rPr>
                <w:b/>
                <w:szCs w:val="22"/>
              </w:rPr>
              <w:t>-</w:t>
            </w:r>
          </w:p>
        </w:tc>
      </w:tr>
      <w:tr w:rsidR="002C4F03" w:rsidRPr="00DF6F6E" w:rsidTr="0000602C">
        <w:tc>
          <w:tcPr>
            <w:tcW w:w="81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987398">
            <w:pPr>
              <w:rPr>
                <w:b/>
              </w:rPr>
            </w:pPr>
            <w:r w:rsidRPr="006D54A9">
              <w:rPr>
                <w:szCs w:val="22"/>
              </w:rPr>
              <w:t>Załączał III pkt 1.2.</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Pr="006D54A9" w:rsidRDefault="002C4F03" w:rsidP="00A651E5">
            <w:pPr>
              <w:rPr>
                <w:rFonts w:cs="Times New Roman"/>
                <w:sz w:val="22"/>
                <w:szCs w:val="22"/>
              </w:rPr>
            </w:pPr>
            <w:r w:rsidRPr="006D54A9">
              <w:rPr>
                <w:rFonts w:cs="Times New Roman"/>
                <w:sz w:val="22"/>
                <w:szCs w:val="22"/>
              </w:rPr>
              <w:t>2. Rozmieszczanie ładunku musi uwzględniać maksymalny dopuszczalny nacisk osi, a także niezbędny minimalny nacisk osi w granicach dopuszczalnej masy całkowitej pojazdu, zgodnie z przepisami dotyczącymi wagi i wymiarów pojazdów.</w:t>
            </w:r>
          </w:p>
        </w:tc>
        <w:tc>
          <w:tcPr>
            <w:tcW w:w="1514" w:type="dxa"/>
            <w:tcBorders>
              <w:top w:val="single" w:sz="4" w:space="0" w:color="auto"/>
              <w:left w:val="single" w:sz="4" w:space="0" w:color="auto"/>
              <w:bottom w:val="single" w:sz="4" w:space="0" w:color="auto"/>
              <w:right w:val="single" w:sz="4" w:space="0" w:color="auto"/>
            </w:tcBorders>
          </w:tcPr>
          <w:p w:rsidR="002C4F03" w:rsidRPr="006D54A9" w:rsidRDefault="002C4F03" w:rsidP="00125FD1">
            <w:pPr>
              <w:jc w:val="center"/>
              <w:rPr>
                <w:b/>
              </w:rPr>
            </w:pPr>
            <w:r w:rsidRPr="006D54A9">
              <w:rPr>
                <w:b/>
                <w:szCs w:val="22"/>
              </w:rPr>
              <w:t>T</w:t>
            </w:r>
          </w:p>
        </w:tc>
        <w:tc>
          <w:tcPr>
            <w:tcW w:w="897" w:type="dxa"/>
            <w:tcBorders>
              <w:top w:val="single" w:sz="4" w:space="0" w:color="auto"/>
              <w:left w:val="single" w:sz="4" w:space="0" w:color="auto"/>
              <w:bottom w:val="single" w:sz="4" w:space="0" w:color="auto"/>
              <w:right w:val="single" w:sz="4" w:space="0" w:color="auto"/>
            </w:tcBorders>
            <w:hideMark/>
          </w:tcPr>
          <w:p w:rsidR="002C4F03" w:rsidRPr="00DF6F6E" w:rsidRDefault="002C4F03" w:rsidP="004A3E0F">
            <w:pPr>
              <w:spacing w:line="240" w:lineRule="auto"/>
            </w:pPr>
            <w:r w:rsidRPr="004120FA">
              <w:t>§ </w:t>
            </w:r>
            <w:r>
              <w:t xml:space="preserve">1 </w:t>
            </w:r>
            <w:r w:rsidRPr="00DF6F6E">
              <w:t xml:space="preserve">ust. </w:t>
            </w:r>
            <w:r w:rsidRPr="00DF6F6E">
              <w:rPr>
                <w:b/>
              </w:rPr>
              <w:t>2 pkt 2</w:t>
            </w:r>
            <w:r w:rsidRPr="00DF6F6E">
              <w:t xml:space="preserve"> </w:t>
            </w:r>
            <w:r>
              <w:t xml:space="preserve"> </w:t>
            </w:r>
            <w:r w:rsidRPr="006D54A9">
              <w:rPr>
                <w:rFonts w:cs="Times New Roman"/>
                <w:b/>
                <w:sz w:val="22"/>
                <w:szCs w:val="22"/>
              </w:rPr>
              <w:t>projektu</w:t>
            </w:r>
          </w:p>
        </w:tc>
        <w:tc>
          <w:tcPr>
            <w:tcW w:w="4820" w:type="dxa"/>
            <w:tcBorders>
              <w:top w:val="single" w:sz="4" w:space="0" w:color="auto"/>
              <w:left w:val="single" w:sz="4" w:space="0" w:color="auto"/>
              <w:bottom w:val="single" w:sz="4" w:space="0" w:color="auto"/>
              <w:right w:val="single" w:sz="4" w:space="0" w:color="auto"/>
            </w:tcBorders>
            <w:hideMark/>
          </w:tcPr>
          <w:p w:rsidR="002C4F03" w:rsidRPr="00DF6F6E" w:rsidRDefault="002C4F03" w:rsidP="00D053E1">
            <w:pPr>
              <w:spacing w:line="240" w:lineRule="auto"/>
            </w:pPr>
            <w:r w:rsidRPr="004120FA">
              <w:t>§ </w:t>
            </w:r>
            <w:r>
              <w:t xml:space="preserve">1 </w:t>
            </w:r>
            <w:r w:rsidRPr="00DF6F6E">
              <w:t xml:space="preserve">ust. </w:t>
            </w:r>
            <w:r w:rsidRPr="00DF6F6E">
              <w:rPr>
                <w:b/>
              </w:rPr>
              <w:t>2 pkt 2</w:t>
            </w:r>
            <w:r w:rsidRPr="00DF6F6E">
              <w:t xml:space="preserve"> </w:t>
            </w:r>
          </w:p>
          <w:p w:rsidR="002C4F03" w:rsidRPr="00E632F0" w:rsidRDefault="002C4F03" w:rsidP="00D053E1">
            <w:pPr>
              <w:spacing w:line="240" w:lineRule="auto"/>
            </w:pPr>
            <w:r w:rsidRPr="00E632F0">
              <w:t>Ładunek powinien być:</w:t>
            </w:r>
          </w:p>
          <w:p w:rsidR="002C4F03" w:rsidRPr="004A3E0F" w:rsidRDefault="002C4F03" w:rsidP="004A3E0F">
            <w:pPr>
              <w:spacing w:line="240" w:lineRule="auto"/>
            </w:pPr>
            <w:r>
              <w:t xml:space="preserve">2) </w:t>
            </w:r>
            <w:r>
              <w:tab/>
            </w:r>
            <w:r w:rsidRPr="008E0D57">
              <w:t xml:space="preserve">rozmieszczony na </w:t>
            </w:r>
            <w:r>
              <w:t xml:space="preserve">pojeździe </w:t>
            </w:r>
            <w:r w:rsidRPr="008E0D57">
              <w:t xml:space="preserve">z uwzględnieniem </w:t>
            </w:r>
            <w:r>
              <w:t xml:space="preserve">konstrukcji pojazdu, rodzaju przewożonego ładunku oraz </w:t>
            </w:r>
            <w:r w:rsidRPr="008E0D57">
              <w:t>zaleceń producenta</w:t>
            </w:r>
            <w:r>
              <w:t>.</w:t>
            </w:r>
          </w:p>
        </w:tc>
        <w:tc>
          <w:tcPr>
            <w:tcW w:w="2021" w:type="dxa"/>
            <w:tcBorders>
              <w:top w:val="single" w:sz="4" w:space="0" w:color="auto"/>
              <w:left w:val="single" w:sz="4" w:space="0" w:color="auto"/>
              <w:bottom w:val="single" w:sz="4" w:space="0" w:color="auto"/>
              <w:right w:val="single" w:sz="4" w:space="0" w:color="auto"/>
            </w:tcBorders>
            <w:hideMark/>
          </w:tcPr>
          <w:p w:rsidR="002C4F03" w:rsidRPr="00987398" w:rsidRDefault="002C4F03" w:rsidP="00865938">
            <w:pPr>
              <w:jc w:val="center"/>
              <w:rPr>
                <w:b/>
              </w:rPr>
            </w:pPr>
            <w:r>
              <w:rPr>
                <w:b/>
              </w:rPr>
              <w:t>-</w:t>
            </w:r>
          </w:p>
        </w:tc>
      </w:tr>
      <w:tr w:rsidR="002C4F03" w:rsidRPr="00D053E1" w:rsidTr="0000602C">
        <w:tc>
          <w:tcPr>
            <w:tcW w:w="81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987398">
            <w:pPr>
              <w:rPr>
                <w:b/>
              </w:rPr>
            </w:pPr>
            <w:r w:rsidRPr="006D54A9">
              <w:rPr>
                <w:szCs w:val="22"/>
              </w:rPr>
              <w:t xml:space="preserve">Załącznik </w:t>
            </w:r>
            <w:r w:rsidRPr="006D54A9">
              <w:rPr>
                <w:szCs w:val="22"/>
              </w:rPr>
              <w:lastRenderedPageBreak/>
              <w:t>III pkt 1.3.</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Pr="006D54A9" w:rsidRDefault="002C4F03" w:rsidP="00A651E5">
            <w:pPr>
              <w:rPr>
                <w:rFonts w:cs="Times New Roman"/>
                <w:sz w:val="22"/>
                <w:szCs w:val="22"/>
              </w:rPr>
            </w:pPr>
            <w:r w:rsidRPr="006D54A9">
              <w:rPr>
                <w:rFonts w:cs="Times New Roman"/>
                <w:sz w:val="22"/>
                <w:szCs w:val="22"/>
              </w:rPr>
              <w:lastRenderedPageBreak/>
              <w:t xml:space="preserve">3. Podczas zabezpieczania ładunku uwzględnia się mające zastosowanie wymogi w odniesieniu do wytrzymałości niektórych części pojazdu, </w:t>
            </w:r>
            <w:r w:rsidRPr="006D54A9">
              <w:rPr>
                <w:rFonts w:cs="Times New Roman"/>
                <w:sz w:val="22"/>
                <w:szCs w:val="22"/>
              </w:rPr>
              <w:lastRenderedPageBreak/>
              <w:t>takich jak burty przednie, burty boczne, burty tylne, kłonice lub punkty mocowania ładunku, gdy elementy te są wykorzystywane do zabezpieczania ładunku.</w:t>
            </w:r>
          </w:p>
        </w:tc>
        <w:tc>
          <w:tcPr>
            <w:tcW w:w="1514" w:type="dxa"/>
            <w:tcBorders>
              <w:top w:val="single" w:sz="4" w:space="0" w:color="auto"/>
              <w:left w:val="single" w:sz="4" w:space="0" w:color="auto"/>
              <w:bottom w:val="single" w:sz="4" w:space="0" w:color="auto"/>
              <w:right w:val="single" w:sz="4" w:space="0" w:color="auto"/>
            </w:tcBorders>
          </w:tcPr>
          <w:p w:rsidR="002C4F03" w:rsidRPr="006D54A9" w:rsidRDefault="002C4F03" w:rsidP="00125FD1">
            <w:pPr>
              <w:jc w:val="center"/>
              <w:rPr>
                <w:b/>
              </w:rPr>
            </w:pPr>
            <w:r w:rsidRPr="006D54A9">
              <w:rPr>
                <w:b/>
                <w:szCs w:val="22"/>
              </w:rPr>
              <w:lastRenderedPageBreak/>
              <w:t>T</w:t>
            </w:r>
          </w:p>
        </w:tc>
        <w:tc>
          <w:tcPr>
            <w:tcW w:w="89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4A3E0F">
            <w:pPr>
              <w:rPr>
                <w:b/>
              </w:rPr>
            </w:pPr>
            <w:r w:rsidRPr="004120FA">
              <w:t>§</w:t>
            </w:r>
            <w:r>
              <w:t xml:space="preserve"> 2, </w:t>
            </w:r>
            <w:r w:rsidRPr="004120FA">
              <w:t>§</w:t>
            </w:r>
            <w:r>
              <w:t xml:space="preserve"> 3 i  </w:t>
            </w:r>
            <w:r w:rsidRPr="004120FA">
              <w:t>§</w:t>
            </w:r>
            <w:r>
              <w:t xml:space="preserve"> 4 </w:t>
            </w:r>
            <w:r w:rsidRPr="006D54A9">
              <w:rPr>
                <w:b/>
                <w:szCs w:val="22"/>
              </w:rPr>
              <w:lastRenderedPageBreak/>
              <w:t>projektu</w:t>
            </w:r>
          </w:p>
        </w:tc>
        <w:tc>
          <w:tcPr>
            <w:tcW w:w="4820" w:type="dxa"/>
            <w:tcBorders>
              <w:top w:val="single" w:sz="4" w:space="0" w:color="auto"/>
              <w:left w:val="single" w:sz="4" w:space="0" w:color="auto"/>
              <w:bottom w:val="single" w:sz="4" w:space="0" w:color="auto"/>
              <w:right w:val="single" w:sz="4" w:space="0" w:color="auto"/>
            </w:tcBorders>
            <w:hideMark/>
          </w:tcPr>
          <w:p w:rsidR="002C4F03" w:rsidRPr="004A3E0F" w:rsidRDefault="002C4F03" w:rsidP="004A3E0F">
            <w:pPr>
              <w:rPr>
                <w:bCs/>
              </w:rPr>
            </w:pPr>
            <w:r w:rsidRPr="004A3E0F">
              <w:rPr>
                <w:b/>
                <w:bCs/>
              </w:rPr>
              <w:lastRenderedPageBreak/>
              <w:t>§ </w:t>
            </w:r>
            <w:r>
              <w:rPr>
                <w:b/>
                <w:bCs/>
              </w:rPr>
              <w:t>2</w:t>
            </w:r>
          </w:p>
          <w:p w:rsidR="002C4F03" w:rsidRPr="004A3E0F" w:rsidRDefault="002C4F03" w:rsidP="004A3E0F">
            <w:pPr>
              <w:spacing w:line="240" w:lineRule="auto"/>
              <w:rPr>
                <w:bCs/>
              </w:rPr>
            </w:pPr>
            <w:r w:rsidRPr="004A3E0F">
              <w:rPr>
                <w:bCs/>
              </w:rPr>
              <w:t xml:space="preserve">Konstrukcja przestrzeni ładunkowej pojazdu przeznaczonego do przewozu ładunku powinna </w:t>
            </w:r>
            <w:r w:rsidRPr="004A3E0F">
              <w:rPr>
                <w:bCs/>
              </w:rPr>
              <w:lastRenderedPageBreak/>
              <w:t>spełniać wymagania normy PN-EN-12642-01 „Zabezpieczanie ładunków na pojazdach drogowych – Konstrukcja nadwozi pojazdów do przewozu towarów –</w:t>
            </w:r>
            <w:r w:rsidRPr="004A3E0F" w:rsidDel="00D51D7E">
              <w:rPr>
                <w:bCs/>
              </w:rPr>
              <w:t xml:space="preserve"> </w:t>
            </w:r>
            <w:r w:rsidRPr="004A3E0F">
              <w:rPr>
                <w:bCs/>
              </w:rPr>
              <w:t>Wymagania minimalne”.</w:t>
            </w:r>
          </w:p>
          <w:p w:rsidR="002C4F03" w:rsidRDefault="002C4F03" w:rsidP="00D053E1">
            <w:pPr>
              <w:spacing w:line="240" w:lineRule="auto"/>
            </w:pPr>
            <w:r>
              <w:t xml:space="preserve">§ 3 </w:t>
            </w:r>
          </w:p>
          <w:p w:rsidR="002C4F03" w:rsidRDefault="002C4F03" w:rsidP="004A3E0F">
            <w:pPr>
              <w:spacing w:line="240" w:lineRule="auto"/>
            </w:pPr>
            <w:r w:rsidRPr="0074187B">
              <w:t>Wymagania techniczne w odniesieniu do elementów konstrukcji pojazdu, w szczególności kontenerów ISO</w:t>
            </w:r>
            <w:r>
              <w:t xml:space="preserve">, </w:t>
            </w:r>
            <w:r w:rsidRPr="0074187B">
              <w:t>nadwozi wymiennych</w:t>
            </w:r>
            <w:r>
              <w:t xml:space="preserve">, plandek, żerdzi - </w:t>
            </w:r>
            <w:r w:rsidRPr="0074187B">
              <w:t>kłonic</w:t>
            </w:r>
            <w:r>
              <w:t xml:space="preserve">, </w:t>
            </w:r>
            <w:r w:rsidRPr="0074187B">
              <w:t xml:space="preserve">powinny być zgodne z aktualnym poziomem wiedzy inżynierskiej. Poziom wiedzy jest opisany </w:t>
            </w:r>
            <w:r>
              <w:br/>
            </w:r>
            <w:r w:rsidRPr="0074187B">
              <w:t xml:space="preserve">w normach: </w:t>
            </w:r>
            <w:r>
              <w:t>PN-</w:t>
            </w:r>
            <w:r w:rsidRPr="0074187B">
              <w:t>ISO 1161</w:t>
            </w:r>
            <w:r>
              <w:t xml:space="preserve"> „Kontenery ładunkowe serii 1 - Naroża zaczepowe - </w:t>
            </w:r>
            <w:r w:rsidRPr="00B10E7F">
              <w:t>Wymagania</w:t>
            </w:r>
            <w:r>
              <w:t>, PN-</w:t>
            </w:r>
            <w:r w:rsidRPr="0074187B">
              <w:t>ISO-1496</w:t>
            </w:r>
            <w:r>
              <w:t xml:space="preserve"> „Kontenery ładunkowe serii 1 - Wymagania i metody badań -</w:t>
            </w:r>
            <w:r w:rsidRPr="00B10E7F">
              <w:t xml:space="preserve"> Kontenery ogólnego użytku do różnych ładunków</w:t>
            </w:r>
            <w:r w:rsidRPr="0074187B">
              <w:t>,</w:t>
            </w:r>
            <w:r>
              <w:t xml:space="preserve"> PN-</w:t>
            </w:r>
            <w:r w:rsidRPr="0074187B">
              <w:t>EN-283</w:t>
            </w:r>
            <w:r>
              <w:t xml:space="preserve"> „Nadwozia wymienne -</w:t>
            </w:r>
            <w:r w:rsidRPr="00B10E7F">
              <w:t xml:space="preserve"> Badania”</w:t>
            </w:r>
            <w:r>
              <w:t>, PN-</w:t>
            </w:r>
            <w:r w:rsidRPr="00B10E7F">
              <w:t>EN 12641</w:t>
            </w:r>
            <w:r>
              <w:t xml:space="preserve"> </w:t>
            </w:r>
            <w:r w:rsidRPr="009F7004">
              <w:t>„Nadwozia wymienne - Opończe - Część 1: Wymagania minimalne”</w:t>
            </w:r>
            <w:r>
              <w:t xml:space="preserve"> </w:t>
            </w:r>
            <w:r>
              <w:br/>
              <w:t xml:space="preserve">i EUMOS </w:t>
            </w:r>
            <w:r w:rsidRPr="0074187B">
              <w:t>40511</w:t>
            </w:r>
            <w:r>
              <w:t xml:space="preserve"> </w:t>
            </w:r>
            <w:r w:rsidRPr="00260C2F">
              <w:t>„</w:t>
            </w:r>
            <w:r w:rsidRPr="009F7004">
              <w:t xml:space="preserve">Metoda badania słupów zamontowanych, używanych do zabezpieczania ładunku na drogowych pojazdach </w:t>
            </w:r>
            <w:r>
              <w:br/>
            </w:r>
            <w:r w:rsidRPr="009F7004">
              <w:t>i przyczepach</w:t>
            </w:r>
            <w:r w:rsidRPr="00260C2F">
              <w:t>”</w:t>
            </w:r>
            <w:r w:rsidRPr="009F7004">
              <w:t>.</w:t>
            </w:r>
          </w:p>
          <w:p w:rsidR="002C4F03" w:rsidRDefault="002C4F03" w:rsidP="004A3E0F">
            <w:pPr>
              <w:spacing w:line="240" w:lineRule="auto"/>
              <w:rPr>
                <w:b/>
              </w:rPr>
            </w:pPr>
            <w:r>
              <w:rPr>
                <w:b/>
              </w:rPr>
              <w:t xml:space="preserve">§ 4 </w:t>
            </w:r>
          </w:p>
          <w:p w:rsidR="002C4F03" w:rsidRPr="004A3E0F" w:rsidRDefault="002C4F03" w:rsidP="004A3E0F">
            <w:pPr>
              <w:spacing w:line="240" w:lineRule="auto"/>
            </w:pPr>
            <w:r w:rsidRPr="004120FA">
              <w:t>Pojazd przeznaczony do przewozu</w:t>
            </w:r>
            <w:r>
              <w:t xml:space="preserve"> ładunków o płaskiej konstrukcji powierzchni załadunkowej </w:t>
            </w:r>
            <w:r w:rsidRPr="004120FA">
              <w:t>powin</w:t>
            </w:r>
            <w:r>
              <w:t xml:space="preserve">ien </w:t>
            </w:r>
            <w:r w:rsidRPr="004120FA">
              <w:t>być</w:t>
            </w:r>
            <w:r>
              <w:t xml:space="preserve"> wyposażony</w:t>
            </w:r>
            <w:r w:rsidRPr="008C16A3">
              <w:t xml:space="preserve"> w punkty mocowania ładunku</w:t>
            </w:r>
            <w:r>
              <w:t xml:space="preserve"> spełniające wymagania normy</w:t>
            </w:r>
            <w:r w:rsidRPr="00C65CA5">
              <w:t xml:space="preserve"> </w:t>
            </w:r>
            <w:r>
              <w:t>PN-EN-</w:t>
            </w:r>
            <w:r w:rsidRPr="004120FA">
              <w:t xml:space="preserve">12640 „Mocowanie </w:t>
            </w:r>
            <w:r>
              <w:t xml:space="preserve">ładunku na pojazdach drogowych </w:t>
            </w:r>
            <w:r w:rsidRPr="003424A4">
              <w:t>–</w:t>
            </w:r>
            <w:r>
              <w:t xml:space="preserve"> </w:t>
            </w:r>
            <w:r w:rsidRPr="004120FA">
              <w:t>Punkty mocowania na pojazdach</w:t>
            </w:r>
            <w:r>
              <w:t xml:space="preserve"> używanych do przewozu towarów </w:t>
            </w:r>
            <w:r w:rsidRPr="003424A4">
              <w:t>–</w:t>
            </w:r>
            <w:r>
              <w:t xml:space="preserve"> </w:t>
            </w:r>
            <w:r>
              <w:lastRenderedPageBreak/>
              <w:t>Minimalne wymagania i badania”; nie dotyczy to p</w:t>
            </w:r>
            <w:r w:rsidRPr="00B4775D">
              <w:t xml:space="preserve">ojazdów </w:t>
            </w:r>
            <w:r>
              <w:t>przeznaczonych</w:t>
            </w:r>
            <w:r w:rsidRPr="00B4775D">
              <w:t xml:space="preserve"> w</w:t>
            </w:r>
            <w:r>
              <w:t xml:space="preserve">yłącznie do transportu </w:t>
            </w:r>
            <w:r w:rsidRPr="00B4775D">
              <w:t>ładunków luzem</w:t>
            </w:r>
            <w:r>
              <w:t xml:space="preserve"> i p</w:t>
            </w:r>
            <w:r w:rsidRPr="004120FA">
              <w:t xml:space="preserve">ojazdów </w:t>
            </w:r>
            <w:r>
              <w:t>przeznaczonych</w:t>
            </w:r>
            <w:r w:rsidRPr="004120FA">
              <w:t xml:space="preserve"> wyłącznie </w:t>
            </w:r>
            <w:r>
              <w:t>do przewozu ładunków</w:t>
            </w:r>
            <w:r w:rsidRPr="004120FA">
              <w:t xml:space="preserve"> o szczególnych wymaganiach w zakresie mocowania ładunku.</w:t>
            </w:r>
          </w:p>
        </w:tc>
        <w:tc>
          <w:tcPr>
            <w:tcW w:w="2021" w:type="dxa"/>
            <w:tcBorders>
              <w:top w:val="single" w:sz="4" w:space="0" w:color="auto"/>
              <w:left w:val="single" w:sz="4" w:space="0" w:color="auto"/>
              <w:bottom w:val="single" w:sz="4" w:space="0" w:color="auto"/>
              <w:right w:val="single" w:sz="4" w:space="0" w:color="auto"/>
            </w:tcBorders>
            <w:hideMark/>
          </w:tcPr>
          <w:p w:rsidR="002C4F03" w:rsidRPr="00987398" w:rsidRDefault="002C4F03" w:rsidP="00865938">
            <w:pPr>
              <w:jc w:val="center"/>
              <w:rPr>
                <w:b/>
              </w:rPr>
            </w:pPr>
            <w:r>
              <w:rPr>
                <w:b/>
              </w:rPr>
              <w:lastRenderedPageBreak/>
              <w:t>-</w:t>
            </w:r>
          </w:p>
        </w:tc>
      </w:tr>
      <w:tr w:rsidR="002C4F03" w:rsidRPr="0058198B" w:rsidTr="0000602C">
        <w:tc>
          <w:tcPr>
            <w:tcW w:w="81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987398">
            <w:pPr>
              <w:rPr>
                <w:b/>
              </w:rPr>
            </w:pPr>
            <w:r w:rsidRPr="006D54A9">
              <w:rPr>
                <w:szCs w:val="22"/>
              </w:rPr>
              <w:lastRenderedPageBreak/>
              <w:t>Załącznik III pkt 1.4.</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4. Do zabezpieczania ładunku można wykorzystać jedną, więcej niż jedną lub połączenie następujących metod mocowania ładunku: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zamykanie,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blokowanie (miejscowe/ogólne),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mocowanie za pomocą odciągów prostych, </w:t>
            </w:r>
          </w:p>
          <w:p w:rsidR="002C4F03" w:rsidRPr="006D54A9" w:rsidRDefault="002C4F03" w:rsidP="00A651E5">
            <w:pPr>
              <w:rPr>
                <w:rFonts w:cs="Times New Roman"/>
                <w:sz w:val="22"/>
                <w:szCs w:val="22"/>
              </w:rPr>
            </w:pPr>
            <w:r w:rsidRPr="006D54A9">
              <w:rPr>
                <w:rFonts w:cs="Times New Roman"/>
                <w:sz w:val="22"/>
                <w:szCs w:val="22"/>
              </w:rPr>
              <w:t>— mocowanie przepasaniem od góry.</w:t>
            </w:r>
          </w:p>
        </w:tc>
        <w:tc>
          <w:tcPr>
            <w:tcW w:w="1514" w:type="dxa"/>
            <w:tcBorders>
              <w:top w:val="single" w:sz="4" w:space="0" w:color="auto"/>
              <w:left w:val="single" w:sz="4" w:space="0" w:color="auto"/>
              <w:bottom w:val="single" w:sz="4" w:space="0" w:color="auto"/>
              <w:right w:val="single" w:sz="4" w:space="0" w:color="auto"/>
            </w:tcBorders>
          </w:tcPr>
          <w:p w:rsidR="002C4F03" w:rsidRPr="006D54A9" w:rsidRDefault="002C4F03" w:rsidP="00125FD1">
            <w:pPr>
              <w:jc w:val="center"/>
              <w:rPr>
                <w:b/>
              </w:rPr>
            </w:pPr>
            <w:r w:rsidRPr="006D54A9">
              <w:rPr>
                <w:b/>
                <w:szCs w:val="22"/>
              </w:rPr>
              <w:t>T</w:t>
            </w:r>
          </w:p>
        </w:tc>
        <w:tc>
          <w:tcPr>
            <w:tcW w:w="897" w:type="dxa"/>
            <w:tcBorders>
              <w:top w:val="single" w:sz="4" w:space="0" w:color="auto"/>
              <w:left w:val="single" w:sz="4" w:space="0" w:color="auto"/>
              <w:bottom w:val="single" w:sz="4" w:space="0" w:color="auto"/>
              <w:right w:val="single" w:sz="4" w:space="0" w:color="auto"/>
            </w:tcBorders>
            <w:hideMark/>
          </w:tcPr>
          <w:p w:rsidR="002C4F03" w:rsidRPr="0023050C" w:rsidRDefault="002C4F03" w:rsidP="0023050C">
            <w:pPr>
              <w:spacing w:line="240" w:lineRule="auto"/>
              <w:rPr>
                <w:b/>
              </w:rPr>
            </w:pPr>
            <w:r>
              <w:t>§ 6</w:t>
            </w:r>
            <w:r>
              <w:rPr>
                <w:b/>
              </w:rPr>
              <w:t xml:space="preserve"> </w:t>
            </w:r>
            <w:r w:rsidRPr="0058198B">
              <w:rPr>
                <w:b/>
              </w:rPr>
              <w:t>ust. 1</w:t>
            </w:r>
            <w:r>
              <w:rPr>
                <w:b/>
              </w:rPr>
              <w:t xml:space="preserve"> </w:t>
            </w:r>
            <w:r w:rsidRPr="006D54A9">
              <w:rPr>
                <w:rFonts w:cs="Times New Roman"/>
                <w:b/>
                <w:sz w:val="22"/>
                <w:szCs w:val="22"/>
              </w:rPr>
              <w:t>projektu</w:t>
            </w:r>
          </w:p>
        </w:tc>
        <w:tc>
          <w:tcPr>
            <w:tcW w:w="4820" w:type="dxa"/>
            <w:tcBorders>
              <w:top w:val="single" w:sz="4" w:space="0" w:color="auto"/>
              <w:left w:val="single" w:sz="4" w:space="0" w:color="auto"/>
              <w:bottom w:val="single" w:sz="4" w:space="0" w:color="auto"/>
              <w:right w:val="single" w:sz="4" w:space="0" w:color="auto"/>
            </w:tcBorders>
            <w:hideMark/>
          </w:tcPr>
          <w:p w:rsidR="002C4F03" w:rsidRDefault="002C4F03" w:rsidP="00723F8A">
            <w:pPr>
              <w:rPr>
                <w:b/>
              </w:rPr>
            </w:pPr>
            <w:r w:rsidRPr="0058198B">
              <w:t xml:space="preserve">§ </w:t>
            </w:r>
            <w:r>
              <w:t>6</w:t>
            </w:r>
            <w:r w:rsidRPr="0058198B">
              <w:rPr>
                <w:b/>
              </w:rPr>
              <w:t xml:space="preserve"> ust. 1  </w:t>
            </w:r>
          </w:p>
          <w:p w:rsidR="002C4F03" w:rsidRPr="00723F8A" w:rsidRDefault="002C4F03" w:rsidP="00723F8A">
            <w:pPr>
              <w:spacing w:line="240" w:lineRule="auto"/>
              <w:rPr>
                <w:b/>
              </w:rPr>
            </w:pPr>
            <w:r>
              <w:t>Ładunek mocuje się z zastosowaniem co najmniej jednej z następujących metod:</w:t>
            </w:r>
          </w:p>
          <w:p w:rsidR="002C4F03" w:rsidRDefault="002C4F03" w:rsidP="00723F8A">
            <w:pPr>
              <w:spacing w:line="240" w:lineRule="auto"/>
            </w:pPr>
            <w:r>
              <w:t>1) zamykania;</w:t>
            </w:r>
          </w:p>
          <w:p w:rsidR="002C4F03" w:rsidRDefault="002C4F03" w:rsidP="00723F8A">
            <w:pPr>
              <w:spacing w:line="240" w:lineRule="auto"/>
            </w:pPr>
            <w:r>
              <w:t>2) blokowania miejscowego albo ogólnego;</w:t>
            </w:r>
          </w:p>
          <w:p w:rsidR="002C4F03" w:rsidRDefault="002C4F03" w:rsidP="00723F8A">
            <w:pPr>
              <w:spacing w:line="240" w:lineRule="auto"/>
            </w:pPr>
            <w:r>
              <w:t>3) mocowania za pomocą odciągów prostych;</w:t>
            </w:r>
          </w:p>
          <w:p w:rsidR="002C4F03" w:rsidRPr="00F068D6" w:rsidRDefault="002C4F03" w:rsidP="00723F8A">
            <w:pPr>
              <w:spacing w:line="240" w:lineRule="auto"/>
            </w:pPr>
            <w:r>
              <w:t>4) mocowania przepasaniem od góry.</w:t>
            </w:r>
          </w:p>
        </w:tc>
        <w:tc>
          <w:tcPr>
            <w:tcW w:w="2021" w:type="dxa"/>
            <w:tcBorders>
              <w:top w:val="single" w:sz="4" w:space="0" w:color="auto"/>
              <w:left w:val="single" w:sz="4" w:space="0" w:color="auto"/>
              <w:bottom w:val="single" w:sz="4" w:space="0" w:color="auto"/>
              <w:right w:val="single" w:sz="4" w:space="0" w:color="auto"/>
            </w:tcBorders>
            <w:hideMark/>
          </w:tcPr>
          <w:p w:rsidR="002C4F03" w:rsidRPr="00987398" w:rsidRDefault="002C4F03" w:rsidP="00865938">
            <w:pPr>
              <w:jc w:val="center"/>
              <w:rPr>
                <w:b/>
              </w:rPr>
            </w:pPr>
            <w:r>
              <w:rPr>
                <w:b/>
              </w:rPr>
              <w:t>-</w:t>
            </w:r>
          </w:p>
        </w:tc>
      </w:tr>
      <w:tr w:rsidR="002C4F03" w:rsidRPr="00090767" w:rsidTr="00FD3D37">
        <w:trPr>
          <w:trHeight w:val="5528"/>
        </w:trPr>
        <w:tc>
          <w:tcPr>
            <w:tcW w:w="817" w:type="dxa"/>
            <w:tcBorders>
              <w:top w:val="single" w:sz="4" w:space="0" w:color="auto"/>
              <w:left w:val="single" w:sz="4" w:space="0" w:color="auto"/>
              <w:bottom w:val="single" w:sz="4" w:space="0" w:color="auto"/>
              <w:right w:val="single" w:sz="4" w:space="0" w:color="auto"/>
            </w:tcBorders>
            <w:hideMark/>
          </w:tcPr>
          <w:p w:rsidR="002C4F03" w:rsidRPr="006D54A9" w:rsidRDefault="002C4F03" w:rsidP="00987398">
            <w:pPr>
              <w:rPr>
                <w:b/>
              </w:rPr>
            </w:pPr>
            <w:r w:rsidRPr="006D54A9">
              <w:rPr>
                <w:szCs w:val="22"/>
              </w:rPr>
              <w:lastRenderedPageBreak/>
              <w:t>Załącznik III pkt 1.5.</w:t>
            </w:r>
          </w:p>
        </w:tc>
        <w:tc>
          <w:tcPr>
            <w:tcW w:w="4541" w:type="dxa"/>
            <w:gridSpan w:val="2"/>
            <w:tcBorders>
              <w:top w:val="single" w:sz="4" w:space="0" w:color="auto"/>
              <w:left w:val="single" w:sz="4" w:space="0" w:color="auto"/>
              <w:bottom w:val="single" w:sz="4" w:space="0" w:color="auto"/>
              <w:right w:val="single" w:sz="4" w:space="0" w:color="auto"/>
            </w:tcBorders>
            <w:hideMark/>
          </w:tcPr>
          <w:p w:rsidR="002C4F03" w:rsidRDefault="002C4F03" w:rsidP="00A651E5">
            <w:pPr>
              <w:spacing w:before="60" w:after="60"/>
              <w:jc w:val="both"/>
              <w:rPr>
                <w:rFonts w:cs="Times New Roman"/>
                <w:sz w:val="22"/>
                <w:szCs w:val="22"/>
              </w:rPr>
            </w:pPr>
            <w:r w:rsidRPr="006D54A9">
              <w:rPr>
                <w:rFonts w:cs="Times New Roman"/>
                <w:sz w:val="22"/>
                <w:szCs w:val="22"/>
              </w:rPr>
              <w:t xml:space="preserve">5. Mające zastosowanie normy: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Norma </w:t>
            </w:r>
            <w:r>
              <w:rPr>
                <w:rFonts w:cs="Times New Roman"/>
                <w:sz w:val="22"/>
                <w:szCs w:val="22"/>
              </w:rPr>
              <w:t xml:space="preserve">                                           </w:t>
            </w:r>
            <w:r w:rsidRPr="006D54A9">
              <w:rPr>
                <w:rFonts w:cs="Times New Roman"/>
                <w:sz w:val="22"/>
                <w:szCs w:val="22"/>
              </w:rPr>
              <w:t xml:space="preserve">Dotyczy: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12195-1 Wyliczanie sił mocujących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12640 Punkty mocowania ładunku </w:t>
            </w:r>
          </w:p>
          <w:p w:rsidR="002C4F03" w:rsidRPr="006D54A9" w:rsidRDefault="002C4F03" w:rsidP="00A651E5">
            <w:pPr>
              <w:spacing w:before="60" w:after="60"/>
              <w:ind w:left="317" w:hanging="317"/>
              <w:jc w:val="both"/>
              <w:rPr>
                <w:rFonts w:cs="Times New Roman"/>
                <w:sz w:val="22"/>
                <w:szCs w:val="22"/>
              </w:rPr>
            </w:pPr>
            <w:r w:rsidRPr="006D54A9">
              <w:rPr>
                <w:rFonts w:cs="Times New Roman"/>
                <w:sz w:val="22"/>
                <w:szCs w:val="22"/>
              </w:rPr>
              <w:t xml:space="preserve">— EN 12642 Wytrzymałość struktury nadwozia </w:t>
            </w:r>
          </w:p>
          <w:p w:rsidR="002C4F03" w:rsidRPr="006D54A9" w:rsidRDefault="002C4F03" w:rsidP="00A651E5">
            <w:pPr>
              <w:spacing w:before="60" w:after="60"/>
              <w:ind w:left="317" w:hanging="317"/>
              <w:jc w:val="both"/>
              <w:rPr>
                <w:rFonts w:cs="Times New Roman"/>
                <w:sz w:val="22"/>
                <w:szCs w:val="22"/>
              </w:rPr>
            </w:pPr>
            <w:r w:rsidRPr="006D54A9">
              <w:rPr>
                <w:rFonts w:cs="Times New Roman"/>
                <w:sz w:val="22"/>
                <w:szCs w:val="22"/>
              </w:rPr>
              <w:t xml:space="preserve">— EN 12195-2 Pasy mocujące z włókien syntetycznych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12195-3 Łańcuchy mocujące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12195-4 Stalowe liny mocujące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ISO 1161, ISO 1496 Kontener ISO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283 Nadwozia wymienne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EN 12641 Plandeki </w:t>
            </w:r>
          </w:p>
          <w:p w:rsidR="002C4F03" w:rsidRPr="006D54A9" w:rsidRDefault="002C4F03" w:rsidP="00A651E5">
            <w:pPr>
              <w:spacing w:before="60" w:after="60"/>
              <w:jc w:val="both"/>
              <w:rPr>
                <w:rFonts w:cs="Times New Roman"/>
                <w:sz w:val="22"/>
                <w:szCs w:val="22"/>
              </w:rPr>
            </w:pPr>
            <w:r w:rsidRPr="006D54A9">
              <w:rPr>
                <w:rFonts w:cs="Times New Roman"/>
                <w:sz w:val="22"/>
                <w:szCs w:val="22"/>
              </w:rPr>
              <w:t xml:space="preserve">— EUMOS 40511 Żerdzie – Kłonice </w:t>
            </w:r>
          </w:p>
          <w:p w:rsidR="002C4F03" w:rsidRPr="006D54A9" w:rsidRDefault="002C4F03" w:rsidP="00A651E5">
            <w:pPr>
              <w:spacing w:before="60" w:after="60"/>
              <w:ind w:left="317" w:hanging="317"/>
              <w:jc w:val="both"/>
              <w:rPr>
                <w:rFonts w:cs="Times New Roman"/>
                <w:sz w:val="22"/>
                <w:szCs w:val="22"/>
              </w:rPr>
            </w:pPr>
            <w:r w:rsidRPr="006D54A9">
              <w:rPr>
                <w:rFonts w:cs="Times New Roman"/>
                <w:sz w:val="22"/>
                <w:szCs w:val="22"/>
              </w:rPr>
              <w:t>— EUMOS 40509 Opakowanie transportowe</w:t>
            </w:r>
          </w:p>
        </w:tc>
        <w:tc>
          <w:tcPr>
            <w:tcW w:w="1514" w:type="dxa"/>
            <w:tcBorders>
              <w:top w:val="single" w:sz="4" w:space="0" w:color="auto"/>
              <w:left w:val="single" w:sz="4" w:space="0" w:color="auto"/>
              <w:bottom w:val="single" w:sz="4" w:space="0" w:color="auto"/>
              <w:right w:val="single" w:sz="4" w:space="0" w:color="auto"/>
            </w:tcBorders>
          </w:tcPr>
          <w:p w:rsidR="002C4F03" w:rsidRPr="006D54A9" w:rsidRDefault="002C4F03" w:rsidP="00125FD1">
            <w:pPr>
              <w:jc w:val="center"/>
              <w:rPr>
                <w:b/>
              </w:rPr>
            </w:pPr>
            <w:r w:rsidRPr="006D54A9">
              <w:rPr>
                <w:b/>
                <w:szCs w:val="22"/>
              </w:rPr>
              <w:t>T</w:t>
            </w:r>
          </w:p>
        </w:tc>
        <w:tc>
          <w:tcPr>
            <w:tcW w:w="897" w:type="dxa"/>
            <w:tcBorders>
              <w:top w:val="single" w:sz="4" w:space="0" w:color="auto"/>
              <w:left w:val="single" w:sz="4" w:space="0" w:color="auto"/>
              <w:bottom w:val="single" w:sz="4" w:space="0" w:color="auto"/>
              <w:right w:val="single" w:sz="4" w:space="0" w:color="auto"/>
            </w:tcBorders>
            <w:hideMark/>
          </w:tcPr>
          <w:p w:rsidR="002C4F03" w:rsidRPr="00814B47" w:rsidRDefault="002C4F03" w:rsidP="00814B47">
            <w:pPr>
              <w:spacing w:line="240" w:lineRule="auto"/>
              <w:rPr>
                <w:rFonts w:cs="Times New Roman"/>
                <w:b/>
                <w:sz w:val="22"/>
                <w:szCs w:val="22"/>
              </w:rPr>
            </w:pPr>
            <w:r w:rsidRPr="006D54A9">
              <w:rPr>
                <w:rFonts w:cs="Times New Roman"/>
                <w:sz w:val="22"/>
                <w:szCs w:val="22"/>
              </w:rPr>
              <w:t>§ </w:t>
            </w:r>
            <w:r>
              <w:rPr>
                <w:rFonts w:cs="Times New Roman"/>
                <w:sz w:val="22"/>
                <w:szCs w:val="22"/>
              </w:rPr>
              <w:t>2</w:t>
            </w:r>
            <w:r w:rsidRPr="006D54A9">
              <w:rPr>
                <w:rFonts w:cs="Times New Roman"/>
                <w:sz w:val="22"/>
                <w:szCs w:val="22"/>
              </w:rPr>
              <w:t xml:space="preserve"> </w:t>
            </w:r>
            <w:r w:rsidRPr="006D54A9">
              <w:rPr>
                <w:rFonts w:cs="Times New Roman"/>
                <w:b/>
                <w:sz w:val="22"/>
                <w:szCs w:val="22"/>
              </w:rPr>
              <w:t>ust. 1</w:t>
            </w:r>
            <w:r>
              <w:rPr>
                <w:rFonts w:cs="Times New Roman"/>
                <w:sz w:val="22"/>
                <w:szCs w:val="22"/>
              </w:rPr>
              <w:t>, § 3, § 4, § 5</w:t>
            </w:r>
            <w:r w:rsidRPr="006D54A9">
              <w:rPr>
                <w:rFonts w:cs="Times New Roman"/>
                <w:sz w:val="22"/>
                <w:szCs w:val="22"/>
              </w:rPr>
              <w:t xml:space="preserve"> pkt 1</w:t>
            </w:r>
            <w:r>
              <w:rPr>
                <w:rFonts w:cs="Times New Roman"/>
                <w:sz w:val="22"/>
                <w:szCs w:val="22"/>
              </w:rPr>
              <w:t xml:space="preserve">, </w:t>
            </w:r>
            <w:r w:rsidRPr="006D54A9">
              <w:rPr>
                <w:rFonts w:cs="Times New Roman"/>
                <w:sz w:val="22"/>
                <w:szCs w:val="22"/>
              </w:rPr>
              <w:t xml:space="preserve">§ </w:t>
            </w:r>
            <w:r>
              <w:rPr>
                <w:rFonts w:cs="Times New Roman"/>
                <w:sz w:val="22"/>
                <w:szCs w:val="22"/>
              </w:rPr>
              <w:t>6</w:t>
            </w:r>
            <w:r w:rsidRPr="006D54A9">
              <w:rPr>
                <w:rFonts w:cs="Times New Roman"/>
                <w:sz w:val="22"/>
                <w:szCs w:val="22"/>
              </w:rPr>
              <w:t xml:space="preserve"> </w:t>
            </w:r>
            <w:r>
              <w:rPr>
                <w:rFonts w:cs="Times New Roman"/>
                <w:b/>
                <w:sz w:val="22"/>
                <w:szCs w:val="22"/>
              </w:rPr>
              <w:t xml:space="preserve">ust. 2, </w:t>
            </w:r>
            <w:r>
              <w:rPr>
                <w:rFonts w:cs="Times New Roman"/>
                <w:sz w:val="22"/>
                <w:szCs w:val="22"/>
              </w:rPr>
              <w:t xml:space="preserve">§ 8 </w:t>
            </w:r>
            <w:r w:rsidRPr="006D54A9">
              <w:rPr>
                <w:rFonts w:cs="Times New Roman"/>
                <w:b/>
                <w:sz w:val="22"/>
                <w:szCs w:val="22"/>
              </w:rPr>
              <w:t>projektu</w:t>
            </w:r>
          </w:p>
        </w:tc>
        <w:tc>
          <w:tcPr>
            <w:tcW w:w="4820" w:type="dxa"/>
            <w:tcBorders>
              <w:top w:val="single" w:sz="4" w:space="0" w:color="auto"/>
              <w:left w:val="single" w:sz="4" w:space="0" w:color="auto"/>
              <w:bottom w:val="single" w:sz="4" w:space="0" w:color="auto"/>
              <w:right w:val="single" w:sz="4" w:space="0" w:color="auto"/>
            </w:tcBorders>
            <w:hideMark/>
          </w:tcPr>
          <w:p w:rsidR="002C4F03" w:rsidRPr="006D54A9" w:rsidRDefault="002C4F03" w:rsidP="00D053E1">
            <w:pPr>
              <w:spacing w:line="240" w:lineRule="auto"/>
              <w:rPr>
                <w:rFonts w:cs="Times New Roman"/>
                <w:sz w:val="22"/>
                <w:szCs w:val="22"/>
              </w:rPr>
            </w:pPr>
            <w:r w:rsidRPr="006D54A9">
              <w:rPr>
                <w:rFonts w:cs="Times New Roman"/>
                <w:sz w:val="22"/>
                <w:szCs w:val="22"/>
              </w:rPr>
              <w:t>§ </w:t>
            </w:r>
            <w:r>
              <w:rPr>
                <w:rFonts w:cs="Times New Roman"/>
                <w:sz w:val="22"/>
                <w:szCs w:val="22"/>
              </w:rPr>
              <w:t>2</w:t>
            </w:r>
            <w:r w:rsidRPr="006D54A9">
              <w:rPr>
                <w:rFonts w:cs="Times New Roman"/>
                <w:sz w:val="22"/>
                <w:szCs w:val="22"/>
              </w:rPr>
              <w:t xml:space="preserve"> </w:t>
            </w:r>
            <w:r w:rsidRPr="006D54A9">
              <w:rPr>
                <w:rFonts w:cs="Times New Roman"/>
                <w:b/>
                <w:sz w:val="22"/>
                <w:szCs w:val="22"/>
              </w:rPr>
              <w:t>ust. 1</w:t>
            </w:r>
          </w:p>
          <w:p w:rsidR="002C4F03" w:rsidRPr="006D54A9" w:rsidRDefault="002C4F03" w:rsidP="00D053E1">
            <w:pPr>
              <w:spacing w:line="240" w:lineRule="auto"/>
              <w:rPr>
                <w:rFonts w:cs="Times New Roman"/>
                <w:sz w:val="22"/>
                <w:szCs w:val="22"/>
              </w:rPr>
            </w:pPr>
            <w:r w:rsidRPr="006D54A9">
              <w:rPr>
                <w:rFonts w:cs="Times New Roman"/>
                <w:sz w:val="22"/>
                <w:szCs w:val="22"/>
              </w:rPr>
              <w:t>Konstrukcja przestrzeni ładunkowej pojazdu przeznaczonego do przewozu ładunku powinna spełniać wymagania normy PN-EN-12642-01 „Zabezpieczanie ładunków na pojazdach drogowych – Konstrukcja nadwozi pojazdów do przewozu towarów –</w:t>
            </w:r>
            <w:r w:rsidRPr="006D54A9" w:rsidDel="00D51D7E">
              <w:rPr>
                <w:rFonts w:cs="Times New Roman"/>
                <w:sz w:val="22"/>
                <w:szCs w:val="22"/>
              </w:rPr>
              <w:t xml:space="preserve"> </w:t>
            </w:r>
            <w:r w:rsidRPr="006D54A9">
              <w:rPr>
                <w:rFonts w:cs="Times New Roman"/>
                <w:sz w:val="22"/>
                <w:szCs w:val="22"/>
              </w:rPr>
              <w:t>Wymagania minimalne”.</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 </w:t>
            </w:r>
            <w:r>
              <w:rPr>
                <w:rFonts w:cs="Times New Roman"/>
                <w:sz w:val="22"/>
                <w:szCs w:val="22"/>
              </w:rPr>
              <w:t>3</w:t>
            </w:r>
          </w:p>
          <w:p w:rsidR="002C4F03" w:rsidRPr="006D54A9" w:rsidRDefault="002C4F03" w:rsidP="00D053E1">
            <w:pPr>
              <w:spacing w:line="240" w:lineRule="auto"/>
              <w:rPr>
                <w:rFonts w:cs="Times New Roman"/>
                <w:sz w:val="22"/>
                <w:szCs w:val="22"/>
              </w:rPr>
            </w:pPr>
            <w:r w:rsidRPr="006D54A9">
              <w:rPr>
                <w:rFonts w:cs="Times New Roman"/>
                <w:sz w:val="22"/>
                <w:szCs w:val="22"/>
              </w:rPr>
              <w:t>Wymagania techniczne w odniesieniu do elementów konstrukcji pojazdu, w szczególności kontenerów ISO, nadwozi wymiennych, plandek, żerdzi - kłonic, powinny być zgodne z aktualnym poziomem wiedzy inżynierskiej. Poziom wiedzy jest opisany w normach: PN-ISO 1161 „Kontenery ładunkowe serii 1 - Naroża zaczepowe - Wymagania, PN-ISO-1496 „Kontenery ładunkowe serii 1 - Wymagania i metody badań - Kontenery ogólnego użytku do różnych ładunków, PN-EN-283 „Nadwozia wymienne - Badania”, PN-EN 12641 „Nadwozia wymienne - Opończe - Część 1: Wymagania minimalne” i EUMOS 40511 „Metoda badania słupów zamontowanych, używanych do zabezpieczania ładunku na drogowych pojazdach i przyczepach”.</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 </w:t>
            </w:r>
            <w:r>
              <w:rPr>
                <w:rFonts w:cs="Times New Roman"/>
                <w:sz w:val="22"/>
                <w:szCs w:val="22"/>
              </w:rPr>
              <w:t>4</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Pojazd przeznaczony do przewozu ładunków o płaskiej konstrukcji powierzchni załadunkowej powinien być wyposażony w punkty mocowania ładunku spełniające wymagania normy PN-EN-12640 „Mocowanie ładunku na pojazdach drogowych – Punkty mocowania na pojazdach używanych do przewozu towarów – Minimalne wymagania i badania”; nie dotyczy to pojazdów przeznaczonych wyłącznie do transportu ładunków luzem i pojazdów przeznaczonych wyłącznie do </w:t>
            </w:r>
            <w:r w:rsidRPr="006D54A9">
              <w:rPr>
                <w:rFonts w:cs="Times New Roman"/>
                <w:sz w:val="22"/>
                <w:szCs w:val="22"/>
              </w:rPr>
              <w:lastRenderedPageBreak/>
              <w:t>przewozu ładunków o szczególnych wymaganiach w zakresie mocowania ładunku.</w:t>
            </w:r>
          </w:p>
          <w:p w:rsidR="002C4F03" w:rsidRPr="006D54A9" w:rsidRDefault="002C4F03" w:rsidP="00D053E1">
            <w:pPr>
              <w:spacing w:line="240" w:lineRule="auto"/>
              <w:rPr>
                <w:rFonts w:cs="Times New Roman"/>
                <w:sz w:val="22"/>
                <w:szCs w:val="22"/>
              </w:rPr>
            </w:pPr>
            <w:r>
              <w:rPr>
                <w:rFonts w:cs="Times New Roman"/>
                <w:sz w:val="22"/>
                <w:szCs w:val="22"/>
              </w:rPr>
              <w:t>§ 5</w:t>
            </w:r>
            <w:r w:rsidRPr="006D54A9">
              <w:rPr>
                <w:rFonts w:cs="Times New Roman"/>
                <w:sz w:val="22"/>
                <w:szCs w:val="22"/>
              </w:rPr>
              <w:t xml:space="preserve"> pkt 1</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Urządzenia służące do mocowania ładunku na pojeździe powinny być: </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1) </w:t>
            </w:r>
            <w:r w:rsidRPr="006D54A9">
              <w:rPr>
                <w:rFonts w:cs="Times New Roman"/>
                <w:sz w:val="22"/>
                <w:szCs w:val="22"/>
              </w:rPr>
              <w:tab/>
              <w:t>wykonane w sposób zgodny z aktualnym poziomem wiedzy inżynierskiej zapewniający bezpieczeństwo w ruchu drogowym. Poziom wiedzy jest opisany w normach: PN-EN-12195-2 „Mocowanie ładunków - Bezpieczeństwo - Część 2: Pasy mocujące ładunki”,  PN-EN-12195-3 „Mocowanie ładunków - Bezpieczeństwo - Część 3: Odciągi łańcuchowe” oraz PN-EN-12195-4 „Elementy mocujące ładunki na pojazdach drogowych - Bezpieczeństwo - Część 4: Liny stalowe mocujące”;</w:t>
            </w:r>
          </w:p>
          <w:p w:rsidR="002C4F03" w:rsidRPr="006D54A9" w:rsidRDefault="002C4F03" w:rsidP="00D053E1">
            <w:pPr>
              <w:spacing w:line="240" w:lineRule="auto"/>
              <w:rPr>
                <w:rFonts w:cs="Times New Roman"/>
                <w:b/>
                <w:sz w:val="22"/>
                <w:szCs w:val="22"/>
              </w:rPr>
            </w:pPr>
            <w:r w:rsidRPr="006D54A9">
              <w:rPr>
                <w:rFonts w:cs="Times New Roman"/>
                <w:sz w:val="22"/>
                <w:szCs w:val="22"/>
              </w:rPr>
              <w:t xml:space="preserve">§ </w:t>
            </w:r>
            <w:r>
              <w:rPr>
                <w:rFonts w:cs="Times New Roman"/>
                <w:sz w:val="22"/>
                <w:szCs w:val="22"/>
              </w:rPr>
              <w:t>6</w:t>
            </w:r>
            <w:r w:rsidRPr="006D54A9">
              <w:rPr>
                <w:rFonts w:cs="Times New Roman"/>
                <w:sz w:val="22"/>
                <w:szCs w:val="22"/>
              </w:rPr>
              <w:t xml:space="preserve"> </w:t>
            </w:r>
            <w:r>
              <w:rPr>
                <w:rFonts w:cs="Times New Roman"/>
                <w:b/>
                <w:sz w:val="22"/>
                <w:szCs w:val="22"/>
              </w:rPr>
              <w:t>ust. 2</w:t>
            </w:r>
          </w:p>
          <w:p w:rsidR="002C4F03" w:rsidRPr="006D54A9" w:rsidRDefault="002C4F03" w:rsidP="00D053E1">
            <w:pPr>
              <w:spacing w:line="240" w:lineRule="auto"/>
              <w:rPr>
                <w:rFonts w:cs="Times New Roman"/>
                <w:sz w:val="22"/>
                <w:szCs w:val="22"/>
              </w:rPr>
            </w:pPr>
            <w:r w:rsidRPr="006D54A9">
              <w:rPr>
                <w:rFonts w:cs="Times New Roman"/>
                <w:sz w:val="22"/>
                <w:szCs w:val="22"/>
              </w:rPr>
              <w:t xml:space="preserve">Zastosowane metody mocowania powinny być odpowiednie do rodzaju ładunku, właściwości fizycznych ładunku i opakowań, rodzaju pojazdu, urządzeń służących do mocowania i metod mocowania tak, aby zapewnić trwałość zabezpieczenia ładunku przy przyspieszeniu albo gwałtownym hamowaniu z uwzględnieniem spełnienia wymagań określonych w normie PN-EN-12195-1 „Zestawy do utwierdzania ładunków na pojazdach drogowych - Bezpieczeństwo - Część 1: Obliczanie sił mocowania”.  </w:t>
            </w:r>
          </w:p>
          <w:p w:rsidR="002C4F03" w:rsidRPr="006D54A9" w:rsidRDefault="002C4F03" w:rsidP="00FD3D37">
            <w:pPr>
              <w:spacing w:line="240" w:lineRule="auto"/>
              <w:rPr>
                <w:rFonts w:cs="Times New Roman"/>
                <w:sz w:val="22"/>
                <w:szCs w:val="22"/>
              </w:rPr>
            </w:pPr>
            <w:r>
              <w:rPr>
                <w:rFonts w:cs="Times New Roman"/>
                <w:sz w:val="22"/>
                <w:szCs w:val="22"/>
              </w:rPr>
              <w:t>§ 8</w:t>
            </w:r>
            <w:r w:rsidRPr="006D54A9">
              <w:rPr>
                <w:rFonts w:cs="Times New Roman"/>
                <w:sz w:val="22"/>
                <w:szCs w:val="22"/>
              </w:rPr>
              <w:t xml:space="preserve"> </w:t>
            </w:r>
          </w:p>
          <w:p w:rsidR="002C4F03" w:rsidRPr="00FD3D37" w:rsidRDefault="002C4F03" w:rsidP="00FD3D37">
            <w:pPr>
              <w:spacing w:line="240" w:lineRule="auto"/>
            </w:pPr>
            <w:r>
              <w:t xml:space="preserve">Opakowanie ładunku używane w trakcie przewozu powinno być </w:t>
            </w:r>
            <w:r w:rsidRPr="0043444B">
              <w:t>wykonane w sposób</w:t>
            </w:r>
            <w:r>
              <w:t xml:space="preserve"> </w:t>
            </w:r>
            <w:r w:rsidRPr="0043444B">
              <w:t>zgodny z aktualnym poziomem wiedzy inżynierskiej zapewniający</w:t>
            </w:r>
            <w:r>
              <w:t xml:space="preserve"> bezpieczeństwo w ruchu drogowym.</w:t>
            </w:r>
            <w:r w:rsidRPr="0043444B">
              <w:t xml:space="preserve"> Poziom wi</w:t>
            </w:r>
            <w:r>
              <w:t>edzy jest opisany w normie</w:t>
            </w:r>
            <w:r w:rsidRPr="008D27E4">
              <w:t xml:space="preserve"> </w:t>
            </w:r>
            <w:r>
              <w:t xml:space="preserve">EUMOS 40509 </w:t>
            </w:r>
            <w:r w:rsidRPr="009F7004">
              <w:t xml:space="preserve">„Metoda badania </w:t>
            </w:r>
            <w:r w:rsidRPr="009F7004">
              <w:lastRenderedPageBreak/>
              <w:t>sztywności jednostki ładunkowej”.</w:t>
            </w:r>
          </w:p>
        </w:tc>
        <w:tc>
          <w:tcPr>
            <w:tcW w:w="2021" w:type="dxa"/>
            <w:tcBorders>
              <w:top w:val="single" w:sz="4" w:space="0" w:color="auto"/>
              <w:left w:val="single" w:sz="4" w:space="0" w:color="auto"/>
              <w:bottom w:val="single" w:sz="4" w:space="0" w:color="auto"/>
              <w:right w:val="single" w:sz="4" w:space="0" w:color="auto"/>
            </w:tcBorders>
            <w:hideMark/>
          </w:tcPr>
          <w:p w:rsidR="002C4F03" w:rsidRPr="00987398" w:rsidRDefault="002C4F03" w:rsidP="00865938">
            <w:pPr>
              <w:jc w:val="center"/>
              <w:rPr>
                <w:b/>
              </w:rPr>
            </w:pPr>
            <w:r>
              <w:rPr>
                <w:b/>
              </w:rPr>
              <w:lastRenderedPageBreak/>
              <w:t>-</w:t>
            </w:r>
          </w:p>
        </w:tc>
      </w:tr>
    </w:tbl>
    <w:p w:rsidR="002C4F03" w:rsidRDefault="002C4F03" w:rsidP="00987398">
      <w:pPr>
        <w:rPr>
          <w:szCs w:val="22"/>
        </w:rPr>
        <w:sectPr w:rsidR="002C4F03" w:rsidSect="004B2312">
          <w:headerReference w:type="default" r:id="rId12"/>
          <w:pgSz w:w="16838" w:h="11906" w:orient="landscape"/>
          <w:pgMar w:top="1417" w:right="1417" w:bottom="1417" w:left="1417" w:header="708" w:footer="708" w:gutter="0"/>
          <w:cols w:space="708"/>
          <w:docGrid w:linePitch="360"/>
        </w:sectPr>
      </w:pPr>
    </w:p>
    <w:p w:rsidR="00A92435" w:rsidRDefault="00A92435" w:rsidP="00B25795">
      <w:pPr>
        <w:pStyle w:val="USTustnpkodeksu"/>
        <w:ind w:firstLine="0"/>
      </w:pPr>
    </w:p>
    <w:sectPr w:rsidR="00A92435" w:rsidSect="002C4F03">
      <w:footnotePr>
        <w:numRestart w:val="eachSect"/>
      </w:footnotePr>
      <w:type w:val="continuous"/>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45" w:rsidRDefault="006F4545">
      <w:r>
        <w:separator/>
      </w:r>
    </w:p>
  </w:endnote>
  <w:endnote w:type="continuationSeparator" w:id="0">
    <w:p w:rsidR="006F4545" w:rsidRDefault="006F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45" w:rsidRDefault="006F4545">
      <w:r>
        <w:separator/>
      </w:r>
    </w:p>
  </w:footnote>
  <w:footnote w:type="continuationSeparator" w:id="0">
    <w:p w:rsidR="006F4545" w:rsidRDefault="006F4545">
      <w:r>
        <w:continuationSeparator/>
      </w:r>
    </w:p>
  </w:footnote>
  <w:footnote w:id="1">
    <w:p w:rsidR="0054680B" w:rsidRDefault="0054680B" w:rsidP="002C7DF5">
      <w:pPr>
        <w:pStyle w:val="ODNONIKtreodnonika"/>
      </w:pPr>
      <w:r>
        <w:rPr>
          <w:rStyle w:val="Odwoanieprzypisudolnego"/>
        </w:rPr>
        <w:footnoteRef/>
      </w:r>
      <w:r w:rsidRPr="00E4440D">
        <w:rPr>
          <w:rStyle w:val="IGindeksgrny"/>
        </w:rPr>
        <w:t>)</w:t>
      </w:r>
      <w:r>
        <w:t xml:space="preserve"> </w:t>
      </w:r>
      <w:r w:rsidR="00A92435" w:rsidRPr="002C7DF5">
        <w:t xml:space="preserve">Minister Infrastruktury i </w:t>
      </w:r>
      <w:r w:rsidR="00A92435">
        <w:t>Budownictwa</w:t>
      </w:r>
      <w:r w:rsidR="00A92435" w:rsidRPr="002C7DF5">
        <w:t xml:space="preserve"> kieruje działem administracji rządowej - transport, na podstawie § 1 ust. 2 pkt </w:t>
      </w:r>
      <w:r w:rsidR="00A92435">
        <w:t>3</w:t>
      </w:r>
      <w:r w:rsidR="00A92435" w:rsidRPr="002C7DF5">
        <w:t xml:space="preserve"> rozporządzenia Prezesa Rady Ministrów z dnia </w:t>
      </w:r>
      <w:r w:rsidR="00A92435">
        <w:t>17 listopada 2015 r.</w:t>
      </w:r>
      <w:r w:rsidR="00A92435" w:rsidRPr="002C7DF5">
        <w:t xml:space="preserve"> w sprawie szczegółowego zakresu działania Ministra Infrastruktury i </w:t>
      </w:r>
      <w:r w:rsidR="00A92435">
        <w:t>Budownictwa</w:t>
      </w:r>
      <w:r w:rsidR="00A92435" w:rsidRPr="002C7DF5">
        <w:t xml:space="preserve"> (Dz. U. poz. </w:t>
      </w:r>
      <w:r w:rsidR="00A92435">
        <w:t>1907 i 2094</w:t>
      </w:r>
      <w:r w:rsidR="00A92435" w:rsidRPr="002C7DF5">
        <w:t>).</w:t>
      </w:r>
    </w:p>
  </w:footnote>
  <w:footnote w:id="2">
    <w:p w:rsidR="008547BD" w:rsidRPr="008547BD" w:rsidRDefault="008547BD" w:rsidP="008547BD">
      <w:pPr>
        <w:pStyle w:val="ODNONIKtreodnonika"/>
      </w:pPr>
      <w:r>
        <w:rPr>
          <w:rStyle w:val="Odwoanieprzypisudolnego"/>
        </w:rPr>
        <w:footnoteRef/>
      </w:r>
      <w:r>
        <w:rPr>
          <w:rStyle w:val="IGindeksgrny"/>
        </w:rPr>
        <w:t>)</w:t>
      </w:r>
      <w:r>
        <w:tab/>
      </w:r>
      <w:r w:rsidR="00CB0053" w:rsidRPr="00CB0053">
        <w:t>Niniejsze rozporządzenie w zakresie swojej regulacji wdraża dyrektywę Parlamentu Europejskiego i Rady 2014/47/UE z dnia 3 kwietnia 2014 r. w sprawie drogowej kontroli technicznej dotyczącej zdatności do ruchu drogowego pojazdów użytkowych poruszających się w Unii oraz uchylającej dyrektywę 2000/30/WE (Dz. Urz. UE L 127 z 29.04.2014, str. 134).</w:t>
      </w:r>
    </w:p>
  </w:footnote>
  <w:footnote w:id="3">
    <w:p w:rsidR="008547BD" w:rsidRPr="008547BD" w:rsidRDefault="008547BD" w:rsidP="008547BD">
      <w:pPr>
        <w:pStyle w:val="ODNONIKtreodnonika"/>
      </w:pPr>
      <w:r>
        <w:rPr>
          <w:rStyle w:val="Odwoanieprzypisudolnego"/>
        </w:rPr>
        <w:footnoteRef/>
      </w:r>
      <w:r>
        <w:rPr>
          <w:rStyle w:val="IGindeksgrny"/>
        </w:rPr>
        <w:t>)</w:t>
      </w:r>
      <w:r>
        <w:tab/>
      </w:r>
      <w:r w:rsidR="00CB0053" w:rsidRPr="00CB0053">
        <w:t>Zmiany tekstu jednolitego wymienionej ustawy zostały ogłoszone w Dz. U. z 2017 r. poz. 379. Tekst jednolity nie uwzględnia zmiany ogłoszonej w Dz. U z 2017 r. poz. 60.</w:t>
      </w:r>
    </w:p>
  </w:footnote>
  <w:footnote w:id="4">
    <w:p w:rsidR="00F427E5" w:rsidRPr="006B2E03" w:rsidRDefault="00F427E5" w:rsidP="00F427E5">
      <w:pPr>
        <w:pStyle w:val="ODNONIKtreodnonika"/>
      </w:pPr>
      <w:r>
        <w:rPr>
          <w:rStyle w:val="Odwoanieprzypisudolnego"/>
        </w:rPr>
        <w:footnoteRef/>
      </w:r>
      <w:r>
        <w:rPr>
          <w:rStyle w:val="IGindeksgrny"/>
        </w:rPr>
        <w:t>)</w:t>
      </w:r>
      <w:r>
        <w:tab/>
      </w:r>
      <w:r w:rsidRPr="006B2E03">
        <w:t>Wytyczn</w:t>
      </w:r>
      <w:r w:rsidR="00C043A0">
        <w:t>e</w:t>
      </w:r>
      <w:r w:rsidRPr="006B2E03">
        <w:t xml:space="preserve"> Komisji Europejskiej odnośnie do europejskich najlepszych praktyk w zakresie mocowania ładunków w transporcie drogowym</w:t>
      </w:r>
      <w:r>
        <w:t xml:space="preserve"> (</w:t>
      </w:r>
      <w:hyperlink r:id="rId1" w:history="1">
        <w:r w:rsidR="0042230A" w:rsidRPr="00534335">
          <w:rPr>
            <w:rStyle w:val="Hipercze"/>
          </w:rPr>
          <w:t>http://bookshop.europa.eu/pl/wytyczne-z-2014-r.-odno-nie-do-europejskich-najlepszych-praktyk-w-zakresie-</w:t>
        </w:r>
        <w:r w:rsidR="00971CB0" w:rsidRPr="00534335">
          <w:rPr>
            <w:rStyle w:val="Hipercze"/>
          </w:rPr>
          <w:t>mocowania</w:t>
        </w:r>
        <w:r w:rsidR="0042230A" w:rsidRPr="00534335">
          <w:rPr>
            <w:rStyle w:val="Hipercze"/>
          </w:rPr>
          <w:t>-adunk-w-w-transporcie-drogowym-pbMI0614080</w:t>
        </w:r>
        <w:r w:rsidR="00534335" w:rsidRPr="00534335">
          <w:rPr>
            <w:rStyle w:val="Hipercze"/>
          </w:rPr>
          <w:t>/</w:t>
        </w:r>
      </w:hyperlink>
      <w:r w:rsidR="00971CB0">
        <w:t>)</w:t>
      </w:r>
      <w:r w:rsidR="00932D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0B" w:rsidRPr="00B371CC" w:rsidRDefault="0054680B" w:rsidP="00B371CC">
    <w:pPr>
      <w:pStyle w:val="Nagwek"/>
      <w:jc w:val="center"/>
    </w:pPr>
    <w:r>
      <w:t xml:space="preserve">– </w:t>
    </w:r>
    <w:r w:rsidR="00226744">
      <w:fldChar w:fldCharType="begin"/>
    </w:r>
    <w:r w:rsidR="00F954BE">
      <w:instrText xml:space="preserve"> PAGE  \* MERGEFORMAT </w:instrText>
    </w:r>
    <w:r w:rsidR="00226744">
      <w:fldChar w:fldCharType="separate"/>
    </w:r>
    <w:r w:rsidR="00BA279B">
      <w:rPr>
        <w:noProof/>
      </w:rPr>
      <w:t>14</w:t>
    </w:r>
    <w:r w:rsidR="00226744">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03" w:rsidRPr="001C1B9E" w:rsidRDefault="002C4F03">
    <w:pPr>
      <w:pStyle w:val="Nagwek"/>
    </w:pPr>
    <w:r>
      <w:tab/>
    </w:r>
    <w:r>
      <w:tab/>
    </w:r>
    <w:r>
      <w:tab/>
    </w:r>
    <w:r>
      <w:tab/>
    </w:r>
    <w:r>
      <w:tab/>
    </w:r>
    <w:r>
      <w:tab/>
    </w:r>
    <w:r>
      <w:tab/>
    </w:r>
    <w:r>
      <w:tab/>
      <w:t>11.04.2017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F02BCC"/>
    <w:multiLevelType w:val="hybridMultilevel"/>
    <w:tmpl w:val="E1B0C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7591F3E"/>
    <w:multiLevelType w:val="hybridMultilevel"/>
    <w:tmpl w:val="A5B8EF9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5">
    <w:nsid w:val="6A021AB4"/>
    <w:multiLevelType w:val="hybridMultilevel"/>
    <w:tmpl w:val="513E2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nsid w:val="76DE0223"/>
    <w:multiLevelType w:val="hybridMultilevel"/>
    <w:tmpl w:val="1B3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8"/>
  </w:num>
  <w:num w:numId="4">
    <w:abstractNumId w:val="18"/>
  </w:num>
  <w:num w:numId="5">
    <w:abstractNumId w:val="39"/>
  </w:num>
  <w:num w:numId="6">
    <w:abstractNumId w:val="33"/>
  </w:num>
  <w:num w:numId="7">
    <w:abstractNumId w:val="39"/>
  </w:num>
  <w:num w:numId="8">
    <w:abstractNumId w:val="33"/>
  </w:num>
  <w:num w:numId="9">
    <w:abstractNumId w:val="39"/>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7"/>
  </w:num>
  <w:num w:numId="29">
    <w:abstractNumId w:val="41"/>
  </w:num>
  <w:num w:numId="30">
    <w:abstractNumId w:val="36"/>
  </w:num>
  <w:num w:numId="31">
    <w:abstractNumId w:val="19"/>
  </w:num>
  <w:num w:numId="32">
    <w:abstractNumId w:val="11"/>
  </w:num>
  <w:num w:numId="33">
    <w:abstractNumId w:val="32"/>
  </w:num>
  <w:num w:numId="34">
    <w:abstractNumId w:val="21"/>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2"/>
  </w:num>
  <w:num w:numId="43">
    <w:abstractNumId w:val="38"/>
  </w:num>
  <w:num w:numId="44">
    <w:abstractNumId w:val="12"/>
  </w:num>
  <w:num w:numId="45">
    <w:abstractNumId w:val="34"/>
  </w:num>
  <w:num w:numId="46">
    <w:abstractNumId w:val="20"/>
  </w:num>
  <w:num w:numId="47">
    <w:abstractNumId w:val="25"/>
  </w:num>
  <w:num w:numId="48">
    <w:abstractNumId w:val="40"/>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ur Marciniszyn">
    <w15:presenceInfo w15:providerId="AD" w15:userId="S-1-5-21-2755459653-4094996535-2095095613-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B"/>
    <w:rsid w:val="000012DA"/>
    <w:rsid w:val="0000246E"/>
    <w:rsid w:val="00003862"/>
    <w:rsid w:val="00012A35"/>
    <w:rsid w:val="00016099"/>
    <w:rsid w:val="00017DC2"/>
    <w:rsid w:val="00020D20"/>
    <w:rsid w:val="00021522"/>
    <w:rsid w:val="00023471"/>
    <w:rsid w:val="00023F13"/>
    <w:rsid w:val="00030634"/>
    <w:rsid w:val="000319C1"/>
    <w:rsid w:val="00031A8B"/>
    <w:rsid w:val="00031BCA"/>
    <w:rsid w:val="000330FA"/>
    <w:rsid w:val="0003362F"/>
    <w:rsid w:val="00036B63"/>
    <w:rsid w:val="00037E1A"/>
    <w:rsid w:val="00043495"/>
    <w:rsid w:val="00044DA1"/>
    <w:rsid w:val="00046A75"/>
    <w:rsid w:val="00047312"/>
    <w:rsid w:val="000508BD"/>
    <w:rsid w:val="000517AB"/>
    <w:rsid w:val="0005339C"/>
    <w:rsid w:val="0005571B"/>
    <w:rsid w:val="00056EA4"/>
    <w:rsid w:val="00057AB3"/>
    <w:rsid w:val="00060076"/>
    <w:rsid w:val="00060432"/>
    <w:rsid w:val="00060D87"/>
    <w:rsid w:val="000615A5"/>
    <w:rsid w:val="00062CFC"/>
    <w:rsid w:val="000640C6"/>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36E3"/>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B2F"/>
    <w:rsid w:val="000F6ED4"/>
    <w:rsid w:val="000F798E"/>
    <w:rsid w:val="000F7A6E"/>
    <w:rsid w:val="001042BA"/>
    <w:rsid w:val="00106D03"/>
    <w:rsid w:val="00110465"/>
    <w:rsid w:val="00110628"/>
    <w:rsid w:val="0011245A"/>
    <w:rsid w:val="0011493E"/>
    <w:rsid w:val="00115B72"/>
    <w:rsid w:val="001209EC"/>
    <w:rsid w:val="00120A9E"/>
    <w:rsid w:val="00120FC2"/>
    <w:rsid w:val="00125A9C"/>
    <w:rsid w:val="001270A2"/>
    <w:rsid w:val="00131237"/>
    <w:rsid w:val="001329AC"/>
    <w:rsid w:val="00134370"/>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3A3"/>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5336"/>
    <w:rsid w:val="001F6616"/>
    <w:rsid w:val="00202BD4"/>
    <w:rsid w:val="0020355A"/>
    <w:rsid w:val="00204A97"/>
    <w:rsid w:val="00205831"/>
    <w:rsid w:val="002114EF"/>
    <w:rsid w:val="0021295F"/>
    <w:rsid w:val="002166AD"/>
    <w:rsid w:val="00217871"/>
    <w:rsid w:val="00217E5E"/>
    <w:rsid w:val="00221ED8"/>
    <w:rsid w:val="002231EA"/>
    <w:rsid w:val="00223FDF"/>
    <w:rsid w:val="00226744"/>
    <w:rsid w:val="002279C0"/>
    <w:rsid w:val="00233142"/>
    <w:rsid w:val="0023727E"/>
    <w:rsid w:val="00242081"/>
    <w:rsid w:val="00243696"/>
    <w:rsid w:val="00243777"/>
    <w:rsid w:val="00243C99"/>
    <w:rsid w:val="002441CD"/>
    <w:rsid w:val="002501A3"/>
    <w:rsid w:val="0025166C"/>
    <w:rsid w:val="00255407"/>
    <w:rsid w:val="002555D4"/>
    <w:rsid w:val="00260C2F"/>
    <w:rsid w:val="00261A16"/>
    <w:rsid w:val="00262714"/>
    <w:rsid w:val="00263522"/>
    <w:rsid w:val="00264EC6"/>
    <w:rsid w:val="002658A1"/>
    <w:rsid w:val="00271013"/>
    <w:rsid w:val="00273FE4"/>
    <w:rsid w:val="002765B4"/>
    <w:rsid w:val="00276A94"/>
    <w:rsid w:val="00284D6B"/>
    <w:rsid w:val="00291155"/>
    <w:rsid w:val="0029405D"/>
    <w:rsid w:val="00294FA6"/>
    <w:rsid w:val="00295A6F"/>
    <w:rsid w:val="002A20C4"/>
    <w:rsid w:val="002A570F"/>
    <w:rsid w:val="002A7292"/>
    <w:rsid w:val="002A7358"/>
    <w:rsid w:val="002A7902"/>
    <w:rsid w:val="002B0F6B"/>
    <w:rsid w:val="002B23B8"/>
    <w:rsid w:val="002B3216"/>
    <w:rsid w:val="002B4429"/>
    <w:rsid w:val="002B68A6"/>
    <w:rsid w:val="002B7FAF"/>
    <w:rsid w:val="002C4F03"/>
    <w:rsid w:val="002C7DF5"/>
    <w:rsid w:val="002D0C4F"/>
    <w:rsid w:val="002D1364"/>
    <w:rsid w:val="002D4D30"/>
    <w:rsid w:val="002D5000"/>
    <w:rsid w:val="002D598D"/>
    <w:rsid w:val="002D7188"/>
    <w:rsid w:val="002E1DE3"/>
    <w:rsid w:val="002E2AB6"/>
    <w:rsid w:val="002E3542"/>
    <w:rsid w:val="002E3F34"/>
    <w:rsid w:val="002E5F79"/>
    <w:rsid w:val="002E64FA"/>
    <w:rsid w:val="002F0A00"/>
    <w:rsid w:val="002F0CFA"/>
    <w:rsid w:val="002F669F"/>
    <w:rsid w:val="003005FF"/>
    <w:rsid w:val="00301C97"/>
    <w:rsid w:val="00302801"/>
    <w:rsid w:val="0031004C"/>
    <w:rsid w:val="003105F6"/>
    <w:rsid w:val="00311297"/>
    <w:rsid w:val="003113BE"/>
    <w:rsid w:val="003122CA"/>
    <w:rsid w:val="003148FD"/>
    <w:rsid w:val="0031576A"/>
    <w:rsid w:val="0031577E"/>
    <w:rsid w:val="00321080"/>
    <w:rsid w:val="00322D45"/>
    <w:rsid w:val="00323494"/>
    <w:rsid w:val="0032569A"/>
    <w:rsid w:val="00325A1F"/>
    <w:rsid w:val="003268F9"/>
    <w:rsid w:val="00330BAF"/>
    <w:rsid w:val="00334C12"/>
    <w:rsid w:val="00334E3A"/>
    <w:rsid w:val="003361DD"/>
    <w:rsid w:val="00341A6A"/>
    <w:rsid w:val="00345B9C"/>
    <w:rsid w:val="003505D2"/>
    <w:rsid w:val="00352DAE"/>
    <w:rsid w:val="00354EB9"/>
    <w:rsid w:val="003602AE"/>
    <w:rsid w:val="00360929"/>
    <w:rsid w:val="003647D5"/>
    <w:rsid w:val="0036591B"/>
    <w:rsid w:val="003674B0"/>
    <w:rsid w:val="00370A1F"/>
    <w:rsid w:val="0037727C"/>
    <w:rsid w:val="00377E70"/>
    <w:rsid w:val="00380904"/>
    <w:rsid w:val="003823EE"/>
    <w:rsid w:val="00382960"/>
    <w:rsid w:val="003846F7"/>
    <w:rsid w:val="003851ED"/>
    <w:rsid w:val="00385B39"/>
    <w:rsid w:val="00386785"/>
    <w:rsid w:val="003874AE"/>
    <w:rsid w:val="00390E89"/>
    <w:rsid w:val="00391B1A"/>
    <w:rsid w:val="00391CAD"/>
    <w:rsid w:val="00394423"/>
    <w:rsid w:val="00396942"/>
    <w:rsid w:val="00396B49"/>
    <w:rsid w:val="00396E3E"/>
    <w:rsid w:val="003A2BFA"/>
    <w:rsid w:val="003A306E"/>
    <w:rsid w:val="003A60DC"/>
    <w:rsid w:val="003A6A46"/>
    <w:rsid w:val="003A7A63"/>
    <w:rsid w:val="003B000C"/>
    <w:rsid w:val="003B0F1D"/>
    <w:rsid w:val="003B4A57"/>
    <w:rsid w:val="003C0AD9"/>
    <w:rsid w:val="003C0ED0"/>
    <w:rsid w:val="003C16F7"/>
    <w:rsid w:val="003C1D49"/>
    <w:rsid w:val="003C35C4"/>
    <w:rsid w:val="003D12C2"/>
    <w:rsid w:val="003D1B6D"/>
    <w:rsid w:val="003D31B9"/>
    <w:rsid w:val="003D3867"/>
    <w:rsid w:val="003E0D1A"/>
    <w:rsid w:val="003E2DA3"/>
    <w:rsid w:val="003E6EC7"/>
    <w:rsid w:val="003F020D"/>
    <w:rsid w:val="003F03D9"/>
    <w:rsid w:val="003F2FBE"/>
    <w:rsid w:val="003F318D"/>
    <w:rsid w:val="003F3790"/>
    <w:rsid w:val="003F5BAE"/>
    <w:rsid w:val="003F6ED7"/>
    <w:rsid w:val="003F6FF1"/>
    <w:rsid w:val="00401C84"/>
    <w:rsid w:val="00402164"/>
    <w:rsid w:val="00403210"/>
    <w:rsid w:val="004035BB"/>
    <w:rsid w:val="004035EB"/>
    <w:rsid w:val="00403B43"/>
    <w:rsid w:val="004046ED"/>
    <w:rsid w:val="00407332"/>
    <w:rsid w:val="00407828"/>
    <w:rsid w:val="004120FA"/>
    <w:rsid w:val="00413D8E"/>
    <w:rsid w:val="004140F2"/>
    <w:rsid w:val="00417B22"/>
    <w:rsid w:val="00421085"/>
    <w:rsid w:val="0042230A"/>
    <w:rsid w:val="0042335C"/>
    <w:rsid w:val="0042465E"/>
    <w:rsid w:val="00424DF7"/>
    <w:rsid w:val="00432B76"/>
    <w:rsid w:val="0043444B"/>
    <w:rsid w:val="00434D01"/>
    <w:rsid w:val="00435D26"/>
    <w:rsid w:val="00440C99"/>
    <w:rsid w:val="0044175C"/>
    <w:rsid w:val="00445F4D"/>
    <w:rsid w:val="0044761C"/>
    <w:rsid w:val="00447BA3"/>
    <w:rsid w:val="004504C0"/>
    <w:rsid w:val="004550FB"/>
    <w:rsid w:val="0046111A"/>
    <w:rsid w:val="00462946"/>
    <w:rsid w:val="00463C33"/>
    <w:rsid w:val="00463F43"/>
    <w:rsid w:val="00464B94"/>
    <w:rsid w:val="004653A8"/>
    <w:rsid w:val="00465A0B"/>
    <w:rsid w:val="0047077C"/>
    <w:rsid w:val="00470B05"/>
    <w:rsid w:val="0047207C"/>
    <w:rsid w:val="00472CD6"/>
    <w:rsid w:val="00474ADD"/>
    <w:rsid w:val="00474E3C"/>
    <w:rsid w:val="00480A58"/>
    <w:rsid w:val="00482151"/>
    <w:rsid w:val="00485FAD"/>
    <w:rsid w:val="00487AED"/>
    <w:rsid w:val="00491EDF"/>
    <w:rsid w:val="00492A3F"/>
    <w:rsid w:val="00494F62"/>
    <w:rsid w:val="004A17A7"/>
    <w:rsid w:val="004A2001"/>
    <w:rsid w:val="004A3590"/>
    <w:rsid w:val="004B00A7"/>
    <w:rsid w:val="004B25E2"/>
    <w:rsid w:val="004B34D7"/>
    <w:rsid w:val="004B5037"/>
    <w:rsid w:val="004B5B2F"/>
    <w:rsid w:val="004B626A"/>
    <w:rsid w:val="004B64F8"/>
    <w:rsid w:val="004B660E"/>
    <w:rsid w:val="004C05BD"/>
    <w:rsid w:val="004C3B06"/>
    <w:rsid w:val="004C3F97"/>
    <w:rsid w:val="004C7EE7"/>
    <w:rsid w:val="004D2DEE"/>
    <w:rsid w:val="004D2E1F"/>
    <w:rsid w:val="004D3366"/>
    <w:rsid w:val="004D377F"/>
    <w:rsid w:val="004D4A1D"/>
    <w:rsid w:val="004D7FD9"/>
    <w:rsid w:val="004E1324"/>
    <w:rsid w:val="004E19A5"/>
    <w:rsid w:val="004E37E5"/>
    <w:rsid w:val="004E3FDB"/>
    <w:rsid w:val="004F1F4A"/>
    <w:rsid w:val="004F296D"/>
    <w:rsid w:val="004F47A0"/>
    <w:rsid w:val="004F508B"/>
    <w:rsid w:val="004F695F"/>
    <w:rsid w:val="004F6CA4"/>
    <w:rsid w:val="00500752"/>
    <w:rsid w:val="00501A50"/>
    <w:rsid w:val="0050222D"/>
    <w:rsid w:val="00503AF3"/>
    <w:rsid w:val="0050696D"/>
    <w:rsid w:val="0051094B"/>
    <w:rsid w:val="005110D7"/>
    <w:rsid w:val="00511D99"/>
    <w:rsid w:val="005128D3"/>
    <w:rsid w:val="00514683"/>
    <w:rsid w:val="005147E8"/>
    <w:rsid w:val="005158F2"/>
    <w:rsid w:val="005173D4"/>
    <w:rsid w:val="00525BA9"/>
    <w:rsid w:val="00526DFC"/>
    <w:rsid w:val="00526F43"/>
    <w:rsid w:val="00527651"/>
    <w:rsid w:val="00534335"/>
    <w:rsid w:val="005363AB"/>
    <w:rsid w:val="00544EF4"/>
    <w:rsid w:val="00545E53"/>
    <w:rsid w:val="0054680B"/>
    <w:rsid w:val="005479D9"/>
    <w:rsid w:val="005572BD"/>
    <w:rsid w:val="00557A12"/>
    <w:rsid w:val="00560AC7"/>
    <w:rsid w:val="00561AFB"/>
    <w:rsid w:val="00561FA8"/>
    <w:rsid w:val="005635ED"/>
    <w:rsid w:val="00565253"/>
    <w:rsid w:val="00570191"/>
    <w:rsid w:val="00570570"/>
    <w:rsid w:val="00572512"/>
    <w:rsid w:val="00573B2A"/>
    <w:rsid w:val="00573EE6"/>
    <w:rsid w:val="005741EE"/>
    <w:rsid w:val="0057547F"/>
    <w:rsid w:val="005754EE"/>
    <w:rsid w:val="0057617E"/>
    <w:rsid w:val="00576497"/>
    <w:rsid w:val="005835E7"/>
    <w:rsid w:val="005837FF"/>
    <w:rsid w:val="0058397F"/>
    <w:rsid w:val="00583BF8"/>
    <w:rsid w:val="00585F33"/>
    <w:rsid w:val="00591124"/>
    <w:rsid w:val="00597024"/>
    <w:rsid w:val="005A0274"/>
    <w:rsid w:val="005A095C"/>
    <w:rsid w:val="005A2B31"/>
    <w:rsid w:val="005A6680"/>
    <w:rsid w:val="005A669D"/>
    <w:rsid w:val="005A6BC8"/>
    <w:rsid w:val="005A75D8"/>
    <w:rsid w:val="005B484E"/>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1CC4"/>
    <w:rsid w:val="00603A1A"/>
    <w:rsid w:val="00604156"/>
    <w:rsid w:val="006046D5"/>
    <w:rsid w:val="00604A44"/>
    <w:rsid w:val="00607A93"/>
    <w:rsid w:val="00610C08"/>
    <w:rsid w:val="00611F74"/>
    <w:rsid w:val="00615772"/>
    <w:rsid w:val="00621256"/>
    <w:rsid w:val="00621EE5"/>
    <w:rsid w:val="00621FCC"/>
    <w:rsid w:val="00622E4B"/>
    <w:rsid w:val="00626E63"/>
    <w:rsid w:val="006333DA"/>
    <w:rsid w:val="00635134"/>
    <w:rsid w:val="006356E2"/>
    <w:rsid w:val="00642A65"/>
    <w:rsid w:val="0064492C"/>
    <w:rsid w:val="00645DCE"/>
    <w:rsid w:val="006465AC"/>
    <w:rsid w:val="006465BF"/>
    <w:rsid w:val="00653B22"/>
    <w:rsid w:val="00657BF4"/>
    <w:rsid w:val="006603FB"/>
    <w:rsid w:val="006608DF"/>
    <w:rsid w:val="006623AC"/>
    <w:rsid w:val="006678AF"/>
    <w:rsid w:val="006701EF"/>
    <w:rsid w:val="00673BA5"/>
    <w:rsid w:val="00680058"/>
    <w:rsid w:val="00681442"/>
    <w:rsid w:val="00681F9F"/>
    <w:rsid w:val="006840EA"/>
    <w:rsid w:val="006844E2"/>
    <w:rsid w:val="006847B0"/>
    <w:rsid w:val="00685267"/>
    <w:rsid w:val="006872AE"/>
    <w:rsid w:val="00690082"/>
    <w:rsid w:val="00690252"/>
    <w:rsid w:val="00692997"/>
    <w:rsid w:val="006946BB"/>
    <w:rsid w:val="006969FA"/>
    <w:rsid w:val="006A1725"/>
    <w:rsid w:val="006A3357"/>
    <w:rsid w:val="006A35D5"/>
    <w:rsid w:val="006A748A"/>
    <w:rsid w:val="006B2E03"/>
    <w:rsid w:val="006C06AE"/>
    <w:rsid w:val="006C34C5"/>
    <w:rsid w:val="006C419E"/>
    <w:rsid w:val="006C4A31"/>
    <w:rsid w:val="006C5AC2"/>
    <w:rsid w:val="006C6AFB"/>
    <w:rsid w:val="006D2735"/>
    <w:rsid w:val="006D3C77"/>
    <w:rsid w:val="006D45B2"/>
    <w:rsid w:val="006D6CF2"/>
    <w:rsid w:val="006E0FCC"/>
    <w:rsid w:val="006E1E96"/>
    <w:rsid w:val="006E2F47"/>
    <w:rsid w:val="006E5E21"/>
    <w:rsid w:val="006F2648"/>
    <w:rsid w:val="006F27C6"/>
    <w:rsid w:val="006F2F10"/>
    <w:rsid w:val="006F4545"/>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72C1"/>
    <w:rsid w:val="00730555"/>
    <w:rsid w:val="007312CC"/>
    <w:rsid w:val="00736A64"/>
    <w:rsid w:val="00737F6A"/>
    <w:rsid w:val="007410B6"/>
    <w:rsid w:val="0074187B"/>
    <w:rsid w:val="00744C6F"/>
    <w:rsid w:val="007457F6"/>
    <w:rsid w:val="00745ABB"/>
    <w:rsid w:val="00746E38"/>
    <w:rsid w:val="00747CD5"/>
    <w:rsid w:val="007502B2"/>
    <w:rsid w:val="00753050"/>
    <w:rsid w:val="00753B51"/>
    <w:rsid w:val="00756629"/>
    <w:rsid w:val="007575D2"/>
    <w:rsid w:val="00757B4F"/>
    <w:rsid w:val="00757B6A"/>
    <w:rsid w:val="007610E0"/>
    <w:rsid w:val="007621AA"/>
    <w:rsid w:val="0076260A"/>
    <w:rsid w:val="00764A67"/>
    <w:rsid w:val="00770F6B"/>
    <w:rsid w:val="0077169F"/>
    <w:rsid w:val="00771883"/>
    <w:rsid w:val="00776DC2"/>
    <w:rsid w:val="00777347"/>
    <w:rsid w:val="00780122"/>
    <w:rsid w:val="0078214B"/>
    <w:rsid w:val="00782C87"/>
    <w:rsid w:val="0078498A"/>
    <w:rsid w:val="00792207"/>
    <w:rsid w:val="00792B64"/>
    <w:rsid w:val="00792E29"/>
    <w:rsid w:val="0079379A"/>
    <w:rsid w:val="00794953"/>
    <w:rsid w:val="007A1F2F"/>
    <w:rsid w:val="007A2A5C"/>
    <w:rsid w:val="007A5150"/>
    <w:rsid w:val="007A5373"/>
    <w:rsid w:val="007A7404"/>
    <w:rsid w:val="007A789F"/>
    <w:rsid w:val="007B01A6"/>
    <w:rsid w:val="007B2067"/>
    <w:rsid w:val="007B3FF8"/>
    <w:rsid w:val="007B75BC"/>
    <w:rsid w:val="007C0BD6"/>
    <w:rsid w:val="007C18C4"/>
    <w:rsid w:val="007C3806"/>
    <w:rsid w:val="007C5BB7"/>
    <w:rsid w:val="007C6505"/>
    <w:rsid w:val="007C6524"/>
    <w:rsid w:val="007D07D5"/>
    <w:rsid w:val="007D1C64"/>
    <w:rsid w:val="007D32DD"/>
    <w:rsid w:val="007D6DCE"/>
    <w:rsid w:val="007D72C4"/>
    <w:rsid w:val="007E0063"/>
    <w:rsid w:val="007E2CFE"/>
    <w:rsid w:val="007E59C9"/>
    <w:rsid w:val="007F0072"/>
    <w:rsid w:val="007F2EB6"/>
    <w:rsid w:val="007F4AEA"/>
    <w:rsid w:val="007F54C3"/>
    <w:rsid w:val="00802949"/>
    <w:rsid w:val="0080301E"/>
    <w:rsid w:val="0080365F"/>
    <w:rsid w:val="00805574"/>
    <w:rsid w:val="00812BE5"/>
    <w:rsid w:val="00817429"/>
    <w:rsid w:val="00821514"/>
    <w:rsid w:val="00821E35"/>
    <w:rsid w:val="0082286F"/>
    <w:rsid w:val="00823803"/>
    <w:rsid w:val="008242CE"/>
    <w:rsid w:val="00824591"/>
    <w:rsid w:val="00824AED"/>
    <w:rsid w:val="00827820"/>
    <w:rsid w:val="00831B8B"/>
    <w:rsid w:val="0083405D"/>
    <w:rsid w:val="008352D4"/>
    <w:rsid w:val="00836DB9"/>
    <w:rsid w:val="00837C67"/>
    <w:rsid w:val="008415B0"/>
    <w:rsid w:val="00842028"/>
    <w:rsid w:val="008436B8"/>
    <w:rsid w:val="00843E09"/>
    <w:rsid w:val="00844812"/>
    <w:rsid w:val="00845DC5"/>
    <w:rsid w:val="008460B6"/>
    <w:rsid w:val="00850C9D"/>
    <w:rsid w:val="00852B59"/>
    <w:rsid w:val="008547BD"/>
    <w:rsid w:val="008550C0"/>
    <w:rsid w:val="00856272"/>
    <w:rsid w:val="008563FF"/>
    <w:rsid w:val="0086018B"/>
    <w:rsid w:val="008611DD"/>
    <w:rsid w:val="008620DE"/>
    <w:rsid w:val="00866867"/>
    <w:rsid w:val="00872257"/>
    <w:rsid w:val="008753E6"/>
    <w:rsid w:val="0087738C"/>
    <w:rsid w:val="008802AF"/>
    <w:rsid w:val="00881926"/>
    <w:rsid w:val="00882C68"/>
    <w:rsid w:val="0088318F"/>
    <w:rsid w:val="0088331D"/>
    <w:rsid w:val="008852B0"/>
    <w:rsid w:val="00885AE7"/>
    <w:rsid w:val="00886B60"/>
    <w:rsid w:val="00887889"/>
    <w:rsid w:val="00891EAC"/>
    <w:rsid w:val="008920FF"/>
    <w:rsid w:val="008926E8"/>
    <w:rsid w:val="00894F19"/>
    <w:rsid w:val="00896A10"/>
    <w:rsid w:val="008971B5"/>
    <w:rsid w:val="008A5D26"/>
    <w:rsid w:val="008A6B13"/>
    <w:rsid w:val="008A6ECB"/>
    <w:rsid w:val="008B0BF9"/>
    <w:rsid w:val="008B0E4E"/>
    <w:rsid w:val="008B2866"/>
    <w:rsid w:val="008B3859"/>
    <w:rsid w:val="008B436D"/>
    <w:rsid w:val="008B4E49"/>
    <w:rsid w:val="008B7712"/>
    <w:rsid w:val="008B7B26"/>
    <w:rsid w:val="008C16A3"/>
    <w:rsid w:val="008C1FBB"/>
    <w:rsid w:val="008C3524"/>
    <w:rsid w:val="008C4061"/>
    <w:rsid w:val="008C4229"/>
    <w:rsid w:val="008C5BE0"/>
    <w:rsid w:val="008C7233"/>
    <w:rsid w:val="008D01BF"/>
    <w:rsid w:val="008D2434"/>
    <w:rsid w:val="008D27E4"/>
    <w:rsid w:val="008E0D57"/>
    <w:rsid w:val="008E171D"/>
    <w:rsid w:val="008E2785"/>
    <w:rsid w:val="008E70DD"/>
    <w:rsid w:val="008E78A3"/>
    <w:rsid w:val="008F0654"/>
    <w:rsid w:val="008F06CB"/>
    <w:rsid w:val="008F2E83"/>
    <w:rsid w:val="008F5E0E"/>
    <w:rsid w:val="008F612A"/>
    <w:rsid w:val="0090293D"/>
    <w:rsid w:val="009034DE"/>
    <w:rsid w:val="00905396"/>
    <w:rsid w:val="0090605D"/>
    <w:rsid w:val="00906419"/>
    <w:rsid w:val="00912889"/>
    <w:rsid w:val="00913370"/>
    <w:rsid w:val="00913A42"/>
    <w:rsid w:val="00914167"/>
    <w:rsid w:val="00914191"/>
    <w:rsid w:val="00914345"/>
    <w:rsid w:val="009143DB"/>
    <w:rsid w:val="00915065"/>
    <w:rsid w:val="00917CE5"/>
    <w:rsid w:val="009217C0"/>
    <w:rsid w:val="00925241"/>
    <w:rsid w:val="00925CEC"/>
    <w:rsid w:val="00926A3F"/>
    <w:rsid w:val="0092794E"/>
    <w:rsid w:val="00930D30"/>
    <w:rsid w:val="00932DEC"/>
    <w:rsid w:val="009332A2"/>
    <w:rsid w:val="00937598"/>
    <w:rsid w:val="0093790B"/>
    <w:rsid w:val="00943751"/>
    <w:rsid w:val="009448EF"/>
    <w:rsid w:val="00946DD0"/>
    <w:rsid w:val="009509E6"/>
    <w:rsid w:val="00952018"/>
    <w:rsid w:val="00952800"/>
    <w:rsid w:val="0095300D"/>
    <w:rsid w:val="00956812"/>
    <w:rsid w:val="0095719A"/>
    <w:rsid w:val="009623E9"/>
    <w:rsid w:val="00963EEB"/>
    <w:rsid w:val="009648BC"/>
    <w:rsid w:val="00964C2F"/>
    <w:rsid w:val="00965F88"/>
    <w:rsid w:val="00971CB0"/>
    <w:rsid w:val="009811A2"/>
    <w:rsid w:val="00984E03"/>
    <w:rsid w:val="00987E85"/>
    <w:rsid w:val="009948C1"/>
    <w:rsid w:val="009A0D12"/>
    <w:rsid w:val="009A1987"/>
    <w:rsid w:val="009A1B7C"/>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6D06"/>
    <w:rsid w:val="009E7D90"/>
    <w:rsid w:val="009F1AB0"/>
    <w:rsid w:val="009F501D"/>
    <w:rsid w:val="009F7004"/>
    <w:rsid w:val="00A00CC9"/>
    <w:rsid w:val="00A039D5"/>
    <w:rsid w:val="00A046AD"/>
    <w:rsid w:val="00A079C1"/>
    <w:rsid w:val="00A12520"/>
    <w:rsid w:val="00A130FD"/>
    <w:rsid w:val="00A13D6D"/>
    <w:rsid w:val="00A14769"/>
    <w:rsid w:val="00A16151"/>
    <w:rsid w:val="00A16EC6"/>
    <w:rsid w:val="00A17C06"/>
    <w:rsid w:val="00A2126E"/>
    <w:rsid w:val="00A21706"/>
    <w:rsid w:val="00A24BE0"/>
    <w:rsid w:val="00A24FCC"/>
    <w:rsid w:val="00A26A90"/>
    <w:rsid w:val="00A26B27"/>
    <w:rsid w:val="00A30E4F"/>
    <w:rsid w:val="00A32253"/>
    <w:rsid w:val="00A3310E"/>
    <w:rsid w:val="00A333A0"/>
    <w:rsid w:val="00A340A2"/>
    <w:rsid w:val="00A37E70"/>
    <w:rsid w:val="00A437E1"/>
    <w:rsid w:val="00A4685E"/>
    <w:rsid w:val="00A50CD4"/>
    <w:rsid w:val="00A51191"/>
    <w:rsid w:val="00A5482E"/>
    <w:rsid w:val="00A56D62"/>
    <w:rsid w:val="00A56F07"/>
    <w:rsid w:val="00A5762C"/>
    <w:rsid w:val="00A600FC"/>
    <w:rsid w:val="00A60BCA"/>
    <w:rsid w:val="00A638DA"/>
    <w:rsid w:val="00A645CE"/>
    <w:rsid w:val="00A65B41"/>
    <w:rsid w:val="00A65E00"/>
    <w:rsid w:val="00A66A78"/>
    <w:rsid w:val="00A73238"/>
    <w:rsid w:val="00A7436E"/>
    <w:rsid w:val="00A74E96"/>
    <w:rsid w:val="00A75A8E"/>
    <w:rsid w:val="00A81BB2"/>
    <w:rsid w:val="00A824DD"/>
    <w:rsid w:val="00A83676"/>
    <w:rsid w:val="00A83B7B"/>
    <w:rsid w:val="00A83CEF"/>
    <w:rsid w:val="00A84274"/>
    <w:rsid w:val="00A850F3"/>
    <w:rsid w:val="00A864E3"/>
    <w:rsid w:val="00A92435"/>
    <w:rsid w:val="00A936DE"/>
    <w:rsid w:val="00A94574"/>
    <w:rsid w:val="00A957A8"/>
    <w:rsid w:val="00A95936"/>
    <w:rsid w:val="00A96265"/>
    <w:rsid w:val="00A97084"/>
    <w:rsid w:val="00AA1C2C"/>
    <w:rsid w:val="00AA35F6"/>
    <w:rsid w:val="00AA374B"/>
    <w:rsid w:val="00AA602E"/>
    <w:rsid w:val="00AA667C"/>
    <w:rsid w:val="00AA6E91"/>
    <w:rsid w:val="00AA7439"/>
    <w:rsid w:val="00AB047E"/>
    <w:rsid w:val="00AB0B0A"/>
    <w:rsid w:val="00AB0BB7"/>
    <w:rsid w:val="00AB22C6"/>
    <w:rsid w:val="00AB2AD0"/>
    <w:rsid w:val="00AB67FC"/>
    <w:rsid w:val="00AC00F2"/>
    <w:rsid w:val="00AC1546"/>
    <w:rsid w:val="00AC31B5"/>
    <w:rsid w:val="00AC4EA1"/>
    <w:rsid w:val="00AC5381"/>
    <w:rsid w:val="00AC5920"/>
    <w:rsid w:val="00AD0E65"/>
    <w:rsid w:val="00AD2BF2"/>
    <w:rsid w:val="00AD4E90"/>
    <w:rsid w:val="00AD5422"/>
    <w:rsid w:val="00AD5C35"/>
    <w:rsid w:val="00AD7959"/>
    <w:rsid w:val="00AE4179"/>
    <w:rsid w:val="00AE41B3"/>
    <w:rsid w:val="00AE4425"/>
    <w:rsid w:val="00AE4FBE"/>
    <w:rsid w:val="00AE650F"/>
    <w:rsid w:val="00AE6555"/>
    <w:rsid w:val="00AE7D16"/>
    <w:rsid w:val="00AF4CAA"/>
    <w:rsid w:val="00AF571A"/>
    <w:rsid w:val="00AF60A0"/>
    <w:rsid w:val="00AF67FC"/>
    <w:rsid w:val="00AF7DF5"/>
    <w:rsid w:val="00B006E5"/>
    <w:rsid w:val="00B024C2"/>
    <w:rsid w:val="00B07700"/>
    <w:rsid w:val="00B10E7F"/>
    <w:rsid w:val="00B13921"/>
    <w:rsid w:val="00B13BE1"/>
    <w:rsid w:val="00B1528C"/>
    <w:rsid w:val="00B16ACD"/>
    <w:rsid w:val="00B21487"/>
    <w:rsid w:val="00B232D1"/>
    <w:rsid w:val="00B24DB5"/>
    <w:rsid w:val="00B25795"/>
    <w:rsid w:val="00B31F9E"/>
    <w:rsid w:val="00B3268F"/>
    <w:rsid w:val="00B32C2C"/>
    <w:rsid w:val="00B33A1A"/>
    <w:rsid w:val="00B33E6C"/>
    <w:rsid w:val="00B371CC"/>
    <w:rsid w:val="00B41CD9"/>
    <w:rsid w:val="00B427E6"/>
    <w:rsid w:val="00B428A6"/>
    <w:rsid w:val="00B43E1F"/>
    <w:rsid w:val="00B45FBC"/>
    <w:rsid w:val="00B4602A"/>
    <w:rsid w:val="00B4775D"/>
    <w:rsid w:val="00B51A7D"/>
    <w:rsid w:val="00B535C2"/>
    <w:rsid w:val="00B55544"/>
    <w:rsid w:val="00B642FC"/>
    <w:rsid w:val="00B64D26"/>
    <w:rsid w:val="00B64FBB"/>
    <w:rsid w:val="00B70E22"/>
    <w:rsid w:val="00B73AF7"/>
    <w:rsid w:val="00B774CB"/>
    <w:rsid w:val="00B7794D"/>
    <w:rsid w:val="00B80402"/>
    <w:rsid w:val="00B80B9A"/>
    <w:rsid w:val="00B830B7"/>
    <w:rsid w:val="00B848EA"/>
    <w:rsid w:val="00B84B2B"/>
    <w:rsid w:val="00B86DD4"/>
    <w:rsid w:val="00B90500"/>
    <w:rsid w:val="00B9176C"/>
    <w:rsid w:val="00B935A4"/>
    <w:rsid w:val="00BA279B"/>
    <w:rsid w:val="00BA561A"/>
    <w:rsid w:val="00BB0DC6"/>
    <w:rsid w:val="00BB15E4"/>
    <w:rsid w:val="00BB1E19"/>
    <w:rsid w:val="00BB21D1"/>
    <w:rsid w:val="00BB32F2"/>
    <w:rsid w:val="00BB4338"/>
    <w:rsid w:val="00BB6C0E"/>
    <w:rsid w:val="00BB7B38"/>
    <w:rsid w:val="00BC11E5"/>
    <w:rsid w:val="00BC4378"/>
    <w:rsid w:val="00BC4BC6"/>
    <w:rsid w:val="00BC52FD"/>
    <w:rsid w:val="00BC6E62"/>
    <w:rsid w:val="00BC7443"/>
    <w:rsid w:val="00BD0648"/>
    <w:rsid w:val="00BD1040"/>
    <w:rsid w:val="00BD34AA"/>
    <w:rsid w:val="00BE0C44"/>
    <w:rsid w:val="00BE1B8B"/>
    <w:rsid w:val="00BE2A18"/>
    <w:rsid w:val="00BE2C01"/>
    <w:rsid w:val="00BE41EC"/>
    <w:rsid w:val="00BE56FB"/>
    <w:rsid w:val="00BE7178"/>
    <w:rsid w:val="00BF3DDE"/>
    <w:rsid w:val="00BF6589"/>
    <w:rsid w:val="00BF6F7F"/>
    <w:rsid w:val="00C00647"/>
    <w:rsid w:val="00C02764"/>
    <w:rsid w:val="00C043A0"/>
    <w:rsid w:val="00C04CEF"/>
    <w:rsid w:val="00C0662F"/>
    <w:rsid w:val="00C10936"/>
    <w:rsid w:val="00C11943"/>
    <w:rsid w:val="00C12E96"/>
    <w:rsid w:val="00C14763"/>
    <w:rsid w:val="00C16141"/>
    <w:rsid w:val="00C17205"/>
    <w:rsid w:val="00C21F38"/>
    <w:rsid w:val="00C2363F"/>
    <w:rsid w:val="00C236C8"/>
    <w:rsid w:val="00C260B1"/>
    <w:rsid w:val="00C26E56"/>
    <w:rsid w:val="00C303D8"/>
    <w:rsid w:val="00C31406"/>
    <w:rsid w:val="00C37194"/>
    <w:rsid w:val="00C40637"/>
    <w:rsid w:val="00C40F6C"/>
    <w:rsid w:val="00C40FCF"/>
    <w:rsid w:val="00C40FE5"/>
    <w:rsid w:val="00C44426"/>
    <w:rsid w:val="00C445F3"/>
    <w:rsid w:val="00C44EDF"/>
    <w:rsid w:val="00C451F4"/>
    <w:rsid w:val="00C45EB1"/>
    <w:rsid w:val="00C54A3A"/>
    <w:rsid w:val="00C55566"/>
    <w:rsid w:val="00C56448"/>
    <w:rsid w:val="00C60286"/>
    <w:rsid w:val="00C63955"/>
    <w:rsid w:val="00C65CA5"/>
    <w:rsid w:val="00C667BE"/>
    <w:rsid w:val="00C6766B"/>
    <w:rsid w:val="00C702E0"/>
    <w:rsid w:val="00C72223"/>
    <w:rsid w:val="00C76417"/>
    <w:rsid w:val="00C7726F"/>
    <w:rsid w:val="00C823DA"/>
    <w:rsid w:val="00C8259F"/>
    <w:rsid w:val="00C82746"/>
    <w:rsid w:val="00C8312F"/>
    <w:rsid w:val="00C84C47"/>
    <w:rsid w:val="00C858A4"/>
    <w:rsid w:val="00C86AFA"/>
    <w:rsid w:val="00C93E6D"/>
    <w:rsid w:val="00C96DB4"/>
    <w:rsid w:val="00CB0053"/>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1777"/>
    <w:rsid w:val="00D029B8"/>
    <w:rsid w:val="00D02F60"/>
    <w:rsid w:val="00D0464E"/>
    <w:rsid w:val="00D04A96"/>
    <w:rsid w:val="00D07A7B"/>
    <w:rsid w:val="00D10E06"/>
    <w:rsid w:val="00D15197"/>
    <w:rsid w:val="00D16820"/>
    <w:rsid w:val="00D169C8"/>
    <w:rsid w:val="00D1793F"/>
    <w:rsid w:val="00D22AF5"/>
    <w:rsid w:val="00D235EA"/>
    <w:rsid w:val="00D247A9"/>
    <w:rsid w:val="00D3253B"/>
    <w:rsid w:val="00D32721"/>
    <w:rsid w:val="00D328DC"/>
    <w:rsid w:val="00D3298F"/>
    <w:rsid w:val="00D33387"/>
    <w:rsid w:val="00D402FB"/>
    <w:rsid w:val="00D41BDC"/>
    <w:rsid w:val="00D47D7A"/>
    <w:rsid w:val="00D50ABD"/>
    <w:rsid w:val="00D55290"/>
    <w:rsid w:val="00D556E6"/>
    <w:rsid w:val="00D57791"/>
    <w:rsid w:val="00D6046A"/>
    <w:rsid w:val="00D62870"/>
    <w:rsid w:val="00D64BB6"/>
    <w:rsid w:val="00D655D9"/>
    <w:rsid w:val="00D65872"/>
    <w:rsid w:val="00D676F3"/>
    <w:rsid w:val="00D70EF5"/>
    <w:rsid w:val="00D71024"/>
    <w:rsid w:val="00D71A25"/>
    <w:rsid w:val="00D71FCF"/>
    <w:rsid w:val="00D724DC"/>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3B3E"/>
    <w:rsid w:val="00DD589E"/>
    <w:rsid w:val="00DE1554"/>
    <w:rsid w:val="00DE1B0A"/>
    <w:rsid w:val="00DE2901"/>
    <w:rsid w:val="00DE3DC2"/>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910"/>
    <w:rsid w:val="00E34A35"/>
    <w:rsid w:val="00E37C2F"/>
    <w:rsid w:val="00E41C28"/>
    <w:rsid w:val="00E4440D"/>
    <w:rsid w:val="00E46308"/>
    <w:rsid w:val="00E471EE"/>
    <w:rsid w:val="00E51E17"/>
    <w:rsid w:val="00E52DAB"/>
    <w:rsid w:val="00E539B0"/>
    <w:rsid w:val="00E55994"/>
    <w:rsid w:val="00E60606"/>
    <w:rsid w:val="00E60C66"/>
    <w:rsid w:val="00E6164D"/>
    <w:rsid w:val="00E618C9"/>
    <w:rsid w:val="00E62774"/>
    <w:rsid w:val="00E6307C"/>
    <w:rsid w:val="00E632F0"/>
    <w:rsid w:val="00E636FA"/>
    <w:rsid w:val="00E66C50"/>
    <w:rsid w:val="00E679D3"/>
    <w:rsid w:val="00E71208"/>
    <w:rsid w:val="00E71444"/>
    <w:rsid w:val="00E71C91"/>
    <w:rsid w:val="00E720A1"/>
    <w:rsid w:val="00E75DDA"/>
    <w:rsid w:val="00E773E8"/>
    <w:rsid w:val="00E80060"/>
    <w:rsid w:val="00E83ADD"/>
    <w:rsid w:val="00E84F38"/>
    <w:rsid w:val="00E85623"/>
    <w:rsid w:val="00E87441"/>
    <w:rsid w:val="00E91FAE"/>
    <w:rsid w:val="00E94511"/>
    <w:rsid w:val="00E96255"/>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3C8F"/>
    <w:rsid w:val="00ED5553"/>
    <w:rsid w:val="00ED5E36"/>
    <w:rsid w:val="00ED6961"/>
    <w:rsid w:val="00EF0B96"/>
    <w:rsid w:val="00EF3486"/>
    <w:rsid w:val="00EF47AF"/>
    <w:rsid w:val="00EF53B6"/>
    <w:rsid w:val="00EF6F5E"/>
    <w:rsid w:val="00F00B73"/>
    <w:rsid w:val="00F115CA"/>
    <w:rsid w:val="00F14817"/>
    <w:rsid w:val="00F14EBA"/>
    <w:rsid w:val="00F1510F"/>
    <w:rsid w:val="00F1533A"/>
    <w:rsid w:val="00F15E5A"/>
    <w:rsid w:val="00F17F0A"/>
    <w:rsid w:val="00F2668F"/>
    <w:rsid w:val="00F2742F"/>
    <w:rsid w:val="00F2753B"/>
    <w:rsid w:val="00F3053B"/>
    <w:rsid w:val="00F33F8B"/>
    <w:rsid w:val="00F340B2"/>
    <w:rsid w:val="00F427E5"/>
    <w:rsid w:val="00F43390"/>
    <w:rsid w:val="00F443B2"/>
    <w:rsid w:val="00F458D8"/>
    <w:rsid w:val="00F45BB7"/>
    <w:rsid w:val="00F50237"/>
    <w:rsid w:val="00F51561"/>
    <w:rsid w:val="00F53596"/>
    <w:rsid w:val="00F55BA8"/>
    <w:rsid w:val="00F55DB1"/>
    <w:rsid w:val="00F56ACA"/>
    <w:rsid w:val="00F57525"/>
    <w:rsid w:val="00F600FE"/>
    <w:rsid w:val="00F62E4D"/>
    <w:rsid w:val="00F66B34"/>
    <w:rsid w:val="00F675B9"/>
    <w:rsid w:val="00F711C9"/>
    <w:rsid w:val="00F74C59"/>
    <w:rsid w:val="00F75C3A"/>
    <w:rsid w:val="00F81AF0"/>
    <w:rsid w:val="00F82E30"/>
    <w:rsid w:val="00F831CB"/>
    <w:rsid w:val="00F848A3"/>
    <w:rsid w:val="00F84ACF"/>
    <w:rsid w:val="00F85742"/>
    <w:rsid w:val="00F85BF8"/>
    <w:rsid w:val="00F871CE"/>
    <w:rsid w:val="00F87802"/>
    <w:rsid w:val="00F92C0A"/>
    <w:rsid w:val="00F9415B"/>
    <w:rsid w:val="00F954BE"/>
    <w:rsid w:val="00FA13C2"/>
    <w:rsid w:val="00FA7F91"/>
    <w:rsid w:val="00FB121C"/>
    <w:rsid w:val="00FB1CDD"/>
    <w:rsid w:val="00FB2C2F"/>
    <w:rsid w:val="00FB305C"/>
    <w:rsid w:val="00FC2E3D"/>
    <w:rsid w:val="00FC3BDE"/>
    <w:rsid w:val="00FC6A37"/>
    <w:rsid w:val="00FD1DBE"/>
    <w:rsid w:val="00FD25A7"/>
    <w:rsid w:val="00FD27B6"/>
    <w:rsid w:val="00FD3689"/>
    <w:rsid w:val="00FD3969"/>
    <w:rsid w:val="00FD42A3"/>
    <w:rsid w:val="00FD7468"/>
    <w:rsid w:val="00FD7CE0"/>
    <w:rsid w:val="00FE0B3B"/>
    <w:rsid w:val="00FE1BE2"/>
    <w:rsid w:val="00FE2575"/>
    <w:rsid w:val="00FE3E93"/>
    <w:rsid w:val="00FE6183"/>
    <w:rsid w:val="00FE730A"/>
    <w:rsid w:val="00FF1DD7"/>
    <w:rsid w:val="00FF2989"/>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DD3B3E"/>
    <w:rPr>
      <w:color w:val="0000FF"/>
      <w:u w:val="single"/>
    </w:rPr>
  </w:style>
  <w:style w:type="character" w:styleId="Pogrubienie">
    <w:name w:val="Strong"/>
    <w:basedOn w:val="Domylnaczcionkaakapitu"/>
    <w:uiPriority w:val="22"/>
    <w:qFormat/>
    <w:rsid w:val="009F7004"/>
    <w:rPr>
      <w:b/>
      <w:bCs/>
    </w:rPr>
  </w:style>
  <w:style w:type="paragraph" w:styleId="Poprawka">
    <w:name w:val="Revision"/>
    <w:hidden/>
    <w:uiPriority w:val="99"/>
    <w:semiHidden/>
    <w:rsid w:val="002658A1"/>
    <w:pPr>
      <w:spacing w:line="240" w:lineRule="auto"/>
    </w:pPr>
    <w:rPr>
      <w:rFonts w:ascii="Times New Roman" w:eastAsiaTheme="minorEastAsia" w:hAnsi="Times New Roman" w:cs="Arial"/>
      <w:szCs w:val="20"/>
    </w:rPr>
  </w:style>
  <w:style w:type="character" w:styleId="UyteHipercze">
    <w:name w:val="FollowedHyperlink"/>
    <w:basedOn w:val="Domylnaczcionkaakapitu"/>
    <w:uiPriority w:val="99"/>
    <w:semiHidden/>
    <w:unhideWhenUsed/>
    <w:rsid w:val="00534335"/>
    <w:rPr>
      <w:color w:val="800080" w:themeColor="followedHyperlink"/>
      <w:u w:val="single"/>
    </w:rPr>
  </w:style>
  <w:style w:type="paragraph" w:styleId="Akapitzlist">
    <w:name w:val="List Paragraph"/>
    <w:basedOn w:val="Normalny"/>
    <w:uiPriority w:val="34"/>
    <w:qFormat/>
    <w:rsid w:val="002C4F03"/>
    <w:pPr>
      <w:widowControl/>
      <w:autoSpaceDE/>
      <w:autoSpaceDN/>
      <w:adjustRightInd/>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DD3B3E"/>
    <w:rPr>
      <w:color w:val="0000FF"/>
      <w:u w:val="single"/>
    </w:rPr>
  </w:style>
  <w:style w:type="character" w:styleId="Pogrubienie">
    <w:name w:val="Strong"/>
    <w:basedOn w:val="Domylnaczcionkaakapitu"/>
    <w:uiPriority w:val="22"/>
    <w:qFormat/>
    <w:rsid w:val="009F7004"/>
    <w:rPr>
      <w:b/>
      <w:bCs/>
    </w:rPr>
  </w:style>
  <w:style w:type="paragraph" w:styleId="Poprawka">
    <w:name w:val="Revision"/>
    <w:hidden/>
    <w:uiPriority w:val="99"/>
    <w:semiHidden/>
    <w:rsid w:val="002658A1"/>
    <w:pPr>
      <w:spacing w:line="240" w:lineRule="auto"/>
    </w:pPr>
    <w:rPr>
      <w:rFonts w:ascii="Times New Roman" w:eastAsiaTheme="minorEastAsia" w:hAnsi="Times New Roman" w:cs="Arial"/>
      <w:szCs w:val="20"/>
    </w:rPr>
  </w:style>
  <w:style w:type="character" w:styleId="UyteHipercze">
    <w:name w:val="FollowedHyperlink"/>
    <w:basedOn w:val="Domylnaczcionkaakapitu"/>
    <w:uiPriority w:val="99"/>
    <w:semiHidden/>
    <w:unhideWhenUsed/>
    <w:rsid w:val="00534335"/>
    <w:rPr>
      <w:color w:val="800080" w:themeColor="followedHyperlink"/>
      <w:u w:val="single"/>
    </w:rPr>
  </w:style>
  <w:style w:type="paragraph" w:styleId="Akapitzlist">
    <w:name w:val="List Paragraph"/>
    <w:basedOn w:val="Normalny"/>
    <w:uiPriority w:val="34"/>
    <w:qFormat/>
    <w:rsid w:val="002C4F03"/>
    <w:pPr>
      <w:widowControl/>
      <w:autoSpaceDE/>
      <w:autoSpaceDN/>
      <w:adjustRightInd/>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091">
      <w:bodyDiv w:val="1"/>
      <w:marLeft w:val="0"/>
      <w:marRight w:val="0"/>
      <w:marTop w:val="0"/>
      <w:marBottom w:val="0"/>
      <w:divBdr>
        <w:top w:val="none" w:sz="0" w:space="0" w:color="auto"/>
        <w:left w:val="none" w:sz="0" w:space="0" w:color="auto"/>
        <w:bottom w:val="none" w:sz="0" w:space="0" w:color="auto"/>
        <w:right w:val="none" w:sz="0" w:space="0" w:color="auto"/>
      </w:divBdr>
      <w:divsChild>
        <w:div w:id="846791103">
          <w:marLeft w:val="0"/>
          <w:marRight w:val="0"/>
          <w:marTop w:val="0"/>
          <w:marBottom w:val="0"/>
          <w:divBdr>
            <w:top w:val="none" w:sz="0" w:space="0" w:color="auto"/>
            <w:left w:val="none" w:sz="0" w:space="0" w:color="auto"/>
            <w:bottom w:val="none" w:sz="0" w:space="0" w:color="auto"/>
            <w:right w:val="none" w:sz="0" w:space="0" w:color="auto"/>
          </w:divBdr>
        </w:div>
      </w:divsChild>
    </w:div>
    <w:div w:id="463013038">
      <w:bodyDiv w:val="1"/>
      <w:marLeft w:val="0"/>
      <w:marRight w:val="0"/>
      <w:marTop w:val="0"/>
      <w:marBottom w:val="0"/>
      <w:divBdr>
        <w:top w:val="none" w:sz="0" w:space="0" w:color="auto"/>
        <w:left w:val="none" w:sz="0" w:space="0" w:color="auto"/>
        <w:bottom w:val="none" w:sz="0" w:space="0" w:color="auto"/>
        <w:right w:val="none" w:sz="0" w:space="0" w:color="auto"/>
      </w:divBdr>
      <w:divsChild>
        <w:div w:id="1384673717">
          <w:marLeft w:val="0"/>
          <w:marRight w:val="0"/>
          <w:marTop w:val="0"/>
          <w:marBottom w:val="0"/>
          <w:divBdr>
            <w:top w:val="none" w:sz="0" w:space="0" w:color="auto"/>
            <w:left w:val="none" w:sz="0" w:space="0" w:color="auto"/>
            <w:bottom w:val="none" w:sz="0" w:space="0" w:color="auto"/>
            <w:right w:val="none" w:sz="0" w:space="0" w:color="auto"/>
          </w:divBdr>
        </w:div>
        <w:div w:id="1567183333">
          <w:marLeft w:val="0"/>
          <w:marRight w:val="0"/>
          <w:marTop w:val="0"/>
          <w:marBottom w:val="0"/>
          <w:divBdr>
            <w:top w:val="none" w:sz="0" w:space="0" w:color="auto"/>
            <w:left w:val="none" w:sz="0" w:space="0" w:color="auto"/>
            <w:bottom w:val="none" w:sz="0" w:space="0" w:color="auto"/>
            <w:right w:val="none" w:sz="0" w:space="0" w:color="auto"/>
          </w:divBdr>
        </w:div>
        <w:div w:id="1430932132">
          <w:marLeft w:val="0"/>
          <w:marRight w:val="0"/>
          <w:marTop w:val="0"/>
          <w:marBottom w:val="0"/>
          <w:divBdr>
            <w:top w:val="none" w:sz="0" w:space="0" w:color="auto"/>
            <w:left w:val="none" w:sz="0" w:space="0" w:color="auto"/>
            <w:bottom w:val="none" w:sz="0" w:space="0" w:color="auto"/>
            <w:right w:val="none" w:sz="0" w:space="0" w:color="auto"/>
          </w:divBdr>
        </w:div>
        <w:div w:id="239603783">
          <w:marLeft w:val="0"/>
          <w:marRight w:val="0"/>
          <w:marTop w:val="0"/>
          <w:marBottom w:val="0"/>
          <w:divBdr>
            <w:top w:val="none" w:sz="0" w:space="0" w:color="auto"/>
            <w:left w:val="none" w:sz="0" w:space="0" w:color="auto"/>
            <w:bottom w:val="none" w:sz="0" w:space="0" w:color="auto"/>
            <w:right w:val="none" w:sz="0" w:space="0" w:color="auto"/>
          </w:divBdr>
        </w:div>
        <w:div w:id="160899268">
          <w:marLeft w:val="0"/>
          <w:marRight w:val="0"/>
          <w:marTop w:val="0"/>
          <w:marBottom w:val="0"/>
          <w:divBdr>
            <w:top w:val="none" w:sz="0" w:space="0" w:color="auto"/>
            <w:left w:val="none" w:sz="0" w:space="0" w:color="auto"/>
            <w:bottom w:val="none" w:sz="0" w:space="0" w:color="auto"/>
            <w:right w:val="none" w:sz="0" w:space="0" w:color="auto"/>
          </w:divBdr>
        </w:div>
        <w:div w:id="2116975558">
          <w:marLeft w:val="0"/>
          <w:marRight w:val="0"/>
          <w:marTop w:val="0"/>
          <w:marBottom w:val="0"/>
          <w:divBdr>
            <w:top w:val="none" w:sz="0" w:space="0" w:color="auto"/>
            <w:left w:val="none" w:sz="0" w:space="0" w:color="auto"/>
            <w:bottom w:val="none" w:sz="0" w:space="0" w:color="auto"/>
            <w:right w:val="none" w:sz="0" w:space="0" w:color="auto"/>
          </w:divBdr>
        </w:div>
        <w:div w:id="16080096">
          <w:marLeft w:val="0"/>
          <w:marRight w:val="0"/>
          <w:marTop w:val="0"/>
          <w:marBottom w:val="0"/>
          <w:divBdr>
            <w:top w:val="none" w:sz="0" w:space="0" w:color="auto"/>
            <w:left w:val="none" w:sz="0" w:space="0" w:color="auto"/>
            <w:bottom w:val="none" w:sz="0" w:space="0" w:color="auto"/>
            <w:right w:val="none" w:sz="0" w:space="0" w:color="auto"/>
          </w:divBdr>
        </w:div>
        <w:div w:id="460927275">
          <w:marLeft w:val="0"/>
          <w:marRight w:val="0"/>
          <w:marTop w:val="0"/>
          <w:marBottom w:val="0"/>
          <w:divBdr>
            <w:top w:val="none" w:sz="0" w:space="0" w:color="auto"/>
            <w:left w:val="none" w:sz="0" w:space="0" w:color="auto"/>
            <w:bottom w:val="none" w:sz="0" w:space="0" w:color="auto"/>
            <w:right w:val="none" w:sz="0" w:space="0" w:color="auto"/>
          </w:divBdr>
        </w:div>
        <w:div w:id="1397826563">
          <w:marLeft w:val="0"/>
          <w:marRight w:val="0"/>
          <w:marTop w:val="0"/>
          <w:marBottom w:val="0"/>
          <w:divBdr>
            <w:top w:val="none" w:sz="0" w:space="0" w:color="auto"/>
            <w:left w:val="none" w:sz="0" w:space="0" w:color="auto"/>
            <w:bottom w:val="none" w:sz="0" w:space="0" w:color="auto"/>
            <w:right w:val="none" w:sz="0" w:space="0" w:color="auto"/>
          </w:divBdr>
        </w:div>
        <w:div w:id="729615564">
          <w:marLeft w:val="0"/>
          <w:marRight w:val="0"/>
          <w:marTop w:val="0"/>
          <w:marBottom w:val="0"/>
          <w:divBdr>
            <w:top w:val="none" w:sz="0" w:space="0" w:color="auto"/>
            <w:left w:val="none" w:sz="0" w:space="0" w:color="auto"/>
            <w:bottom w:val="none" w:sz="0" w:space="0" w:color="auto"/>
            <w:right w:val="none" w:sz="0" w:space="0" w:color="auto"/>
          </w:divBdr>
        </w:div>
        <w:div w:id="1822427101">
          <w:marLeft w:val="0"/>
          <w:marRight w:val="0"/>
          <w:marTop w:val="0"/>
          <w:marBottom w:val="0"/>
          <w:divBdr>
            <w:top w:val="none" w:sz="0" w:space="0" w:color="auto"/>
            <w:left w:val="none" w:sz="0" w:space="0" w:color="auto"/>
            <w:bottom w:val="none" w:sz="0" w:space="0" w:color="auto"/>
            <w:right w:val="none" w:sz="0" w:space="0" w:color="auto"/>
          </w:divBdr>
        </w:div>
        <w:div w:id="694817554">
          <w:marLeft w:val="0"/>
          <w:marRight w:val="0"/>
          <w:marTop w:val="0"/>
          <w:marBottom w:val="0"/>
          <w:divBdr>
            <w:top w:val="none" w:sz="0" w:space="0" w:color="auto"/>
            <w:left w:val="none" w:sz="0" w:space="0" w:color="auto"/>
            <w:bottom w:val="none" w:sz="0" w:space="0" w:color="auto"/>
            <w:right w:val="none" w:sz="0" w:space="0" w:color="auto"/>
          </w:divBdr>
        </w:div>
        <w:div w:id="554120983">
          <w:marLeft w:val="0"/>
          <w:marRight w:val="0"/>
          <w:marTop w:val="0"/>
          <w:marBottom w:val="0"/>
          <w:divBdr>
            <w:top w:val="none" w:sz="0" w:space="0" w:color="auto"/>
            <w:left w:val="none" w:sz="0" w:space="0" w:color="auto"/>
            <w:bottom w:val="none" w:sz="0" w:space="0" w:color="auto"/>
            <w:right w:val="none" w:sz="0" w:space="0" w:color="auto"/>
          </w:divBdr>
        </w:div>
        <w:div w:id="22170172">
          <w:marLeft w:val="0"/>
          <w:marRight w:val="0"/>
          <w:marTop w:val="0"/>
          <w:marBottom w:val="0"/>
          <w:divBdr>
            <w:top w:val="none" w:sz="0" w:space="0" w:color="auto"/>
            <w:left w:val="none" w:sz="0" w:space="0" w:color="auto"/>
            <w:bottom w:val="none" w:sz="0" w:space="0" w:color="auto"/>
            <w:right w:val="none" w:sz="0" w:space="0" w:color="auto"/>
          </w:divBdr>
        </w:div>
        <w:div w:id="36247173">
          <w:marLeft w:val="0"/>
          <w:marRight w:val="0"/>
          <w:marTop w:val="0"/>
          <w:marBottom w:val="0"/>
          <w:divBdr>
            <w:top w:val="none" w:sz="0" w:space="0" w:color="auto"/>
            <w:left w:val="none" w:sz="0" w:space="0" w:color="auto"/>
            <w:bottom w:val="none" w:sz="0" w:space="0" w:color="auto"/>
            <w:right w:val="none" w:sz="0" w:space="0" w:color="auto"/>
          </w:divBdr>
        </w:div>
        <w:div w:id="161504826">
          <w:marLeft w:val="0"/>
          <w:marRight w:val="0"/>
          <w:marTop w:val="0"/>
          <w:marBottom w:val="0"/>
          <w:divBdr>
            <w:top w:val="none" w:sz="0" w:space="0" w:color="auto"/>
            <w:left w:val="none" w:sz="0" w:space="0" w:color="auto"/>
            <w:bottom w:val="none" w:sz="0" w:space="0" w:color="auto"/>
            <w:right w:val="none" w:sz="0" w:space="0" w:color="auto"/>
          </w:divBdr>
        </w:div>
        <w:div w:id="1766657589">
          <w:marLeft w:val="0"/>
          <w:marRight w:val="0"/>
          <w:marTop w:val="0"/>
          <w:marBottom w:val="0"/>
          <w:divBdr>
            <w:top w:val="none" w:sz="0" w:space="0" w:color="auto"/>
            <w:left w:val="none" w:sz="0" w:space="0" w:color="auto"/>
            <w:bottom w:val="none" w:sz="0" w:space="0" w:color="auto"/>
            <w:right w:val="none" w:sz="0" w:space="0" w:color="auto"/>
          </w:divBdr>
        </w:div>
        <w:div w:id="313411901">
          <w:marLeft w:val="0"/>
          <w:marRight w:val="0"/>
          <w:marTop w:val="0"/>
          <w:marBottom w:val="0"/>
          <w:divBdr>
            <w:top w:val="none" w:sz="0" w:space="0" w:color="auto"/>
            <w:left w:val="none" w:sz="0" w:space="0" w:color="auto"/>
            <w:bottom w:val="none" w:sz="0" w:space="0" w:color="auto"/>
            <w:right w:val="none" w:sz="0" w:space="0" w:color="auto"/>
          </w:divBdr>
        </w:div>
        <w:div w:id="1356925146">
          <w:marLeft w:val="0"/>
          <w:marRight w:val="0"/>
          <w:marTop w:val="0"/>
          <w:marBottom w:val="0"/>
          <w:divBdr>
            <w:top w:val="none" w:sz="0" w:space="0" w:color="auto"/>
            <w:left w:val="none" w:sz="0" w:space="0" w:color="auto"/>
            <w:bottom w:val="none" w:sz="0" w:space="0" w:color="auto"/>
            <w:right w:val="none" w:sz="0" w:space="0" w:color="auto"/>
          </w:divBdr>
        </w:div>
        <w:div w:id="613442308">
          <w:marLeft w:val="0"/>
          <w:marRight w:val="0"/>
          <w:marTop w:val="0"/>
          <w:marBottom w:val="0"/>
          <w:divBdr>
            <w:top w:val="none" w:sz="0" w:space="0" w:color="auto"/>
            <w:left w:val="none" w:sz="0" w:space="0" w:color="auto"/>
            <w:bottom w:val="none" w:sz="0" w:space="0" w:color="auto"/>
            <w:right w:val="none" w:sz="0" w:space="0" w:color="auto"/>
          </w:divBdr>
        </w:div>
        <w:div w:id="685594877">
          <w:marLeft w:val="0"/>
          <w:marRight w:val="0"/>
          <w:marTop w:val="0"/>
          <w:marBottom w:val="0"/>
          <w:divBdr>
            <w:top w:val="none" w:sz="0" w:space="0" w:color="auto"/>
            <w:left w:val="none" w:sz="0" w:space="0" w:color="auto"/>
            <w:bottom w:val="none" w:sz="0" w:space="0" w:color="auto"/>
            <w:right w:val="none" w:sz="0" w:space="0" w:color="auto"/>
          </w:divBdr>
        </w:div>
        <w:div w:id="2142461024">
          <w:marLeft w:val="0"/>
          <w:marRight w:val="0"/>
          <w:marTop w:val="0"/>
          <w:marBottom w:val="0"/>
          <w:divBdr>
            <w:top w:val="none" w:sz="0" w:space="0" w:color="auto"/>
            <w:left w:val="none" w:sz="0" w:space="0" w:color="auto"/>
            <w:bottom w:val="none" w:sz="0" w:space="0" w:color="auto"/>
            <w:right w:val="none" w:sz="0" w:space="0" w:color="auto"/>
          </w:divBdr>
        </w:div>
        <w:div w:id="1650010580">
          <w:marLeft w:val="0"/>
          <w:marRight w:val="0"/>
          <w:marTop w:val="0"/>
          <w:marBottom w:val="0"/>
          <w:divBdr>
            <w:top w:val="none" w:sz="0" w:space="0" w:color="auto"/>
            <w:left w:val="none" w:sz="0" w:space="0" w:color="auto"/>
            <w:bottom w:val="none" w:sz="0" w:space="0" w:color="auto"/>
            <w:right w:val="none" w:sz="0" w:space="0" w:color="auto"/>
          </w:divBdr>
        </w:div>
        <w:div w:id="948901488">
          <w:marLeft w:val="0"/>
          <w:marRight w:val="0"/>
          <w:marTop w:val="0"/>
          <w:marBottom w:val="0"/>
          <w:divBdr>
            <w:top w:val="none" w:sz="0" w:space="0" w:color="auto"/>
            <w:left w:val="none" w:sz="0" w:space="0" w:color="auto"/>
            <w:bottom w:val="none" w:sz="0" w:space="0" w:color="auto"/>
            <w:right w:val="none" w:sz="0" w:space="0" w:color="auto"/>
          </w:divBdr>
        </w:div>
        <w:div w:id="1379548968">
          <w:marLeft w:val="0"/>
          <w:marRight w:val="0"/>
          <w:marTop w:val="0"/>
          <w:marBottom w:val="0"/>
          <w:divBdr>
            <w:top w:val="none" w:sz="0" w:space="0" w:color="auto"/>
            <w:left w:val="none" w:sz="0" w:space="0" w:color="auto"/>
            <w:bottom w:val="none" w:sz="0" w:space="0" w:color="auto"/>
            <w:right w:val="none" w:sz="0" w:space="0" w:color="auto"/>
          </w:divBdr>
        </w:div>
        <w:div w:id="67507398">
          <w:marLeft w:val="0"/>
          <w:marRight w:val="0"/>
          <w:marTop w:val="0"/>
          <w:marBottom w:val="0"/>
          <w:divBdr>
            <w:top w:val="none" w:sz="0" w:space="0" w:color="auto"/>
            <w:left w:val="none" w:sz="0" w:space="0" w:color="auto"/>
            <w:bottom w:val="none" w:sz="0" w:space="0" w:color="auto"/>
            <w:right w:val="none" w:sz="0" w:space="0" w:color="auto"/>
          </w:divBdr>
        </w:div>
        <w:div w:id="1960137614">
          <w:marLeft w:val="0"/>
          <w:marRight w:val="0"/>
          <w:marTop w:val="0"/>
          <w:marBottom w:val="0"/>
          <w:divBdr>
            <w:top w:val="none" w:sz="0" w:space="0" w:color="auto"/>
            <w:left w:val="none" w:sz="0" w:space="0" w:color="auto"/>
            <w:bottom w:val="none" w:sz="0" w:space="0" w:color="auto"/>
            <w:right w:val="none" w:sz="0" w:space="0" w:color="auto"/>
          </w:divBdr>
        </w:div>
        <w:div w:id="262110284">
          <w:marLeft w:val="0"/>
          <w:marRight w:val="0"/>
          <w:marTop w:val="0"/>
          <w:marBottom w:val="0"/>
          <w:divBdr>
            <w:top w:val="none" w:sz="0" w:space="0" w:color="auto"/>
            <w:left w:val="none" w:sz="0" w:space="0" w:color="auto"/>
            <w:bottom w:val="none" w:sz="0" w:space="0" w:color="auto"/>
            <w:right w:val="none" w:sz="0" w:space="0" w:color="auto"/>
          </w:divBdr>
        </w:div>
        <w:div w:id="627014134">
          <w:marLeft w:val="0"/>
          <w:marRight w:val="0"/>
          <w:marTop w:val="0"/>
          <w:marBottom w:val="0"/>
          <w:divBdr>
            <w:top w:val="none" w:sz="0" w:space="0" w:color="auto"/>
            <w:left w:val="none" w:sz="0" w:space="0" w:color="auto"/>
            <w:bottom w:val="none" w:sz="0" w:space="0" w:color="auto"/>
            <w:right w:val="none" w:sz="0" w:space="0" w:color="auto"/>
          </w:divBdr>
        </w:div>
        <w:div w:id="2018851367">
          <w:marLeft w:val="0"/>
          <w:marRight w:val="0"/>
          <w:marTop w:val="0"/>
          <w:marBottom w:val="0"/>
          <w:divBdr>
            <w:top w:val="none" w:sz="0" w:space="0" w:color="auto"/>
            <w:left w:val="none" w:sz="0" w:space="0" w:color="auto"/>
            <w:bottom w:val="none" w:sz="0" w:space="0" w:color="auto"/>
            <w:right w:val="none" w:sz="0" w:space="0" w:color="auto"/>
          </w:divBdr>
        </w:div>
        <w:div w:id="227545750">
          <w:marLeft w:val="0"/>
          <w:marRight w:val="0"/>
          <w:marTop w:val="0"/>
          <w:marBottom w:val="0"/>
          <w:divBdr>
            <w:top w:val="none" w:sz="0" w:space="0" w:color="auto"/>
            <w:left w:val="none" w:sz="0" w:space="0" w:color="auto"/>
            <w:bottom w:val="none" w:sz="0" w:space="0" w:color="auto"/>
            <w:right w:val="none" w:sz="0" w:space="0" w:color="auto"/>
          </w:divBdr>
        </w:div>
        <w:div w:id="520975932">
          <w:marLeft w:val="0"/>
          <w:marRight w:val="0"/>
          <w:marTop w:val="0"/>
          <w:marBottom w:val="0"/>
          <w:divBdr>
            <w:top w:val="none" w:sz="0" w:space="0" w:color="auto"/>
            <w:left w:val="none" w:sz="0" w:space="0" w:color="auto"/>
            <w:bottom w:val="none" w:sz="0" w:space="0" w:color="auto"/>
            <w:right w:val="none" w:sz="0" w:space="0" w:color="auto"/>
          </w:divBdr>
        </w:div>
        <w:div w:id="2092268959">
          <w:marLeft w:val="0"/>
          <w:marRight w:val="0"/>
          <w:marTop w:val="0"/>
          <w:marBottom w:val="0"/>
          <w:divBdr>
            <w:top w:val="none" w:sz="0" w:space="0" w:color="auto"/>
            <w:left w:val="none" w:sz="0" w:space="0" w:color="auto"/>
            <w:bottom w:val="none" w:sz="0" w:space="0" w:color="auto"/>
            <w:right w:val="none" w:sz="0" w:space="0" w:color="auto"/>
          </w:divBdr>
        </w:div>
        <w:div w:id="1894003448">
          <w:marLeft w:val="0"/>
          <w:marRight w:val="0"/>
          <w:marTop w:val="0"/>
          <w:marBottom w:val="0"/>
          <w:divBdr>
            <w:top w:val="none" w:sz="0" w:space="0" w:color="auto"/>
            <w:left w:val="none" w:sz="0" w:space="0" w:color="auto"/>
            <w:bottom w:val="none" w:sz="0" w:space="0" w:color="auto"/>
            <w:right w:val="none" w:sz="0" w:space="0" w:color="auto"/>
          </w:divBdr>
        </w:div>
        <w:div w:id="1526603195">
          <w:marLeft w:val="0"/>
          <w:marRight w:val="0"/>
          <w:marTop w:val="0"/>
          <w:marBottom w:val="0"/>
          <w:divBdr>
            <w:top w:val="none" w:sz="0" w:space="0" w:color="auto"/>
            <w:left w:val="none" w:sz="0" w:space="0" w:color="auto"/>
            <w:bottom w:val="none" w:sz="0" w:space="0" w:color="auto"/>
            <w:right w:val="none" w:sz="0" w:space="0" w:color="auto"/>
          </w:divBdr>
        </w:div>
      </w:divsChild>
    </w:div>
    <w:div w:id="1107000314">
      <w:bodyDiv w:val="1"/>
      <w:marLeft w:val="0"/>
      <w:marRight w:val="0"/>
      <w:marTop w:val="0"/>
      <w:marBottom w:val="0"/>
      <w:divBdr>
        <w:top w:val="none" w:sz="0" w:space="0" w:color="auto"/>
        <w:left w:val="none" w:sz="0" w:space="0" w:color="auto"/>
        <w:bottom w:val="none" w:sz="0" w:space="0" w:color="auto"/>
        <w:right w:val="none" w:sz="0" w:space="0" w:color="auto"/>
      </w:divBdr>
      <w:divsChild>
        <w:div w:id="1908610138">
          <w:marLeft w:val="0"/>
          <w:marRight w:val="0"/>
          <w:marTop w:val="0"/>
          <w:marBottom w:val="0"/>
          <w:divBdr>
            <w:top w:val="none" w:sz="0" w:space="0" w:color="auto"/>
            <w:left w:val="none" w:sz="0" w:space="0" w:color="auto"/>
            <w:bottom w:val="none" w:sz="0" w:space="0" w:color="auto"/>
            <w:right w:val="none" w:sz="0" w:space="0" w:color="auto"/>
          </w:divBdr>
          <w:divsChild>
            <w:div w:id="628129547">
              <w:marLeft w:val="0"/>
              <w:marRight w:val="0"/>
              <w:marTop w:val="0"/>
              <w:marBottom w:val="0"/>
              <w:divBdr>
                <w:top w:val="none" w:sz="0" w:space="0" w:color="auto"/>
                <w:left w:val="none" w:sz="0" w:space="0" w:color="auto"/>
                <w:bottom w:val="none" w:sz="0" w:space="0" w:color="auto"/>
                <w:right w:val="none" w:sz="0" w:space="0" w:color="auto"/>
              </w:divBdr>
              <w:divsChild>
                <w:div w:id="1574703002">
                  <w:marLeft w:val="0"/>
                  <w:marRight w:val="0"/>
                  <w:marTop w:val="0"/>
                  <w:marBottom w:val="0"/>
                  <w:divBdr>
                    <w:top w:val="none" w:sz="0" w:space="0" w:color="auto"/>
                    <w:left w:val="none" w:sz="0" w:space="0" w:color="auto"/>
                    <w:bottom w:val="none" w:sz="0" w:space="0" w:color="auto"/>
                    <w:right w:val="none" w:sz="0" w:space="0" w:color="auto"/>
                  </w:divBdr>
                  <w:divsChild>
                    <w:div w:id="144858001">
                      <w:marLeft w:val="1"/>
                      <w:marRight w:val="1"/>
                      <w:marTop w:val="0"/>
                      <w:marBottom w:val="0"/>
                      <w:divBdr>
                        <w:top w:val="none" w:sz="0" w:space="0" w:color="auto"/>
                        <w:left w:val="none" w:sz="0" w:space="0" w:color="auto"/>
                        <w:bottom w:val="none" w:sz="0" w:space="0" w:color="auto"/>
                        <w:right w:val="none" w:sz="0" w:space="0" w:color="auto"/>
                      </w:divBdr>
                      <w:divsChild>
                        <w:div w:id="896820685">
                          <w:marLeft w:val="0"/>
                          <w:marRight w:val="0"/>
                          <w:marTop w:val="0"/>
                          <w:marBottom w:val="0"/>
                          <w:divBdr>
                            <w:top w:val="none" w:sz="0" w:space="0" w:color="auto"/>
                            <w:left w:val="none" w:sz="0" w:space="0" w:color="auto"/>
                            <w:bottom w:val="none" w:sz="0" w:space="0" w:color="auto"/>
                            <w:right w:val="none" w:sz="0" w:space="0" w:color="auto"/>
                          </w:divBdr>
                          <w:divsChild>
                            <w:div w:id="714040669">
                              <w:marLeft w:val="0"/>
                              <w:marRight w:val="0"/>
                              <w:marTop w:val="0"/>
                              <w:marBottom w:val="360"/>
                              <w:divBdr>
                                <w:top w:val="none" w:sz="0" w:space="0" w:color="auto"/>
                                <w:left w:val="none" w:sz="0" w:space="0" w:color="auto"/>
                                <w:bottom w:val="none" w:sz="0" w:space="0" w:color="auto"/>
                                <w:right w:val="none" w:sz="0" w:space="0" w:color="auto"/>
                              </w:divBdr>
                              <w:divsChild>
                                <w:div w:id="144975385">
                                  <w:marLeft w:val="0"/>
                                  <w:marRight w:val="0"/>
                                  <w:marTop w:val="0"/>
                                  <w:marBottom w:val="0"/>
                                  <w:divBdr>
                                    <w:top w:val="none" w:sz="0" w:space="0" w:color="auto"/>
                                    <w:left w:val="none" w:sz="0" w:space="0" w:color="auto"/>
                                    <w:bottom w:val="none" w:sz="0" w:space="0" w:color="auto"/>
                                    <w:right w:val="none" w:sz="0" w:space="0" w:color="auto"/>
                                  </w:divBdr>
                                  <w:divsChild>
                                    <w:div w:id="2037465977">
                                      <w:marLeft w:val="0"/>
                                      <w:marRight w:val="0"/>
                                      <w:marTop w:val="0"/>
                                      <w:marBottom w:val="0"/>
                                      <w:divBdr>
                                        <w:top w:val="none" w:sz="0" w:space="0" w:color="auto"/>
                                        <w:left w:val="none" w:sz="0" w:space="0" w:color="auto"/>
                                        <w:bottom w:val="none" w:sz="0" w:space="0" w:color="auto"/>
                                        <w:right w:val="none" w:sz="0" w:space="0" w:color="auto"/>
                                      </w:divBdr>
                                      <w:divsChild>
                                        <w:div w:id="1287347923">
                                          <w:marLeft w:val="0"/>
                                          <w:marRight w:val="0"/>
                                          <w:marTop w:val="0"/>
                                          <w:marBottom w:val="0"/>
                                          <w:divBdr>
                                            <w:top w:val="none" w:sz="0" w:space="0" w:color="auto"/>
                                            <w:left w:val="none" w:sz="0" w:space="0" w:color="auto"/>
                                            <w:bottom w:val="none" w:sz="0" w:space="0" w:color="auto"/>
                                            <w:right w:val="none" w:sz="0" w:space="0" w:color="auto"/>
                                          </w:divBdr>
                                          <w:divsChild>
                                            <w:div w:id="765737840">
                                              <w:marLeft w:val="0"/>
                                              <w:marRight w:val="0"/>
                                              <w:marTop w:val="0"/>
                                              <w:marBottom w:val="0"/>
                                              <w:divBdr>
                                                <w:top w:val="none" w:sz="0" w:space="0" w:color="auto"/>
                                                <w:left w:val="none" w:sz="0" w:space="0" w:color="auto"/>
                                                <w:bottom w:val="none" w:sz="0" w:space="0" w:color="auto"/>
                                                <w:right w:val="none" w:sz="0" w:space="0" w:color="auto"/>
                                              </w:divBdr>
                                              <w:divsChild>
                                                <w:div w:id="1144852125">
                                                  <w:marLeft w:val="0"/>
                                                  <w:marRight w:val="0"/>
                                                  <w:marTop w:val="0"/>
                                                  <w:marBottom w:val="0"/>
                                                  <w:divBdr>
                                                    <w:top w:val="none" w:sz="0" w:space="0" w:color="auto"/>
                                                    <w:left w:val="none" w:sz="0" w:space="0" w:color="auto"/>
                                                    <w:bottom w:val="none" w:sz="0" w:space="0" w:color="auto"/>
                                                    <w:right w:val="none" w:sz="0" w:space="0" w:color="auto"/>
                                                  </w:divBdr>
                                                  <w:divsChild>
                                                    <w:div w:id="553780226">
                                                      <w:marLeft w:val="480"/>
                                                      <w:marRight w:val="0"/>
                                                      <w:marTop w:val="0"/>
                                                      <w:marBottom w:val="0"/>
                                                      <w:divBdr>
                                                        <w:top w:val="none" w:sz="0" w:space="0" w:color="auto"/>
                                                        <w:left w:val="none" w:sz="0" w:space="0" w:color="auto"/>
                                                        <w:bottom w:val="none" w:sz="0" w:space="0" w:color="auto"/>
                                                        <w:right w:val="none" w:sz="0" w:space="0" w:color="auto"/>
                                                      </w:divBdr>
                                                      <w:divsChild>
                                                        <w:div w:id="1240024425">
                                                          <w:marLeft w:val="240"/>
                                                          <w:marRight w:val="0"/>
                                                          <w:marTop w:val="0"/>
                                                          <w:marBottom w:val="0"/>
                                                          <w:divBdr>
                                                            <w:top w:val="none" w:sz="0" w:space="0" w:color="auto"/>
                                                            <w:left w:val="none" w:sz="0" w:space="0" w:color="auto"/>
                                                            <w:bottom w:val="none" w:sz="0" w:space="0" w:color="auto"/>
                                                            <w:right w:val="none" w:sz="0" w:space="0" w:color="auto"/>
                                                          </w:divBdr>
                                                        </w:div>
                                                        <w:div w:id="2004166174">
                                                          <w:marLeft w:val="240"/>
                                                          <w:marRight w:val="0"/>
                                                          <w:marTop w:val="0"/>
                                                          <w:marBottom w:val="0"/>
                                                          <w:divBdr>
                                                            <w:top w:val="none" w:sz="0" w:space="0" w:color="auto"/>
                                                            <w:left w:val="none" w:sz="0" w:space="0" w:color="auto"/>
                                                            <w:bottom w:val="none" w:sz="0" w:space="0" w:color="auto"/>
                                                            <w:right w:val="none" w:sz="0" w:space="0" w:color="auto"/>
                                                          </w:divBdr>
                                                        </w:div>
                                                        <w:div w:id="1376781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008581">
      <w:bodyDiv w:val="1"/>
      <w:marLeft w:val="0"/>
      <w:marRight w:val="0"/>
      <w:marTop w:val="0"/>
      <w:marBottom w:val="0"/>
      <w:divBdr>
        <w:top w:val="none" w:sz="0" w:space="0" w:color="auto"/>
        <w:left w:val="none" w:sz="0" w:space="0" w:color="auto"/>
        <w:bottom w:val="none" w:sz="0" w:space="0" w:color="auto"/>
        <w:right w:val="none" w:sz="0" w:space="0" w:color="auto"/>
      </w:divBdr>
    </w:div>
    <w:div w:id="1137145309">
      <w:bodyDiv w:val="1"/>
      <w:marLeft w:val="0"/>
      <w:marRight w:val="0"/>
      <w:marTop w:val="0"/>
      <w:marBottom w:val="0"/>
      <w:divBdr>
        <w:top w:val="none" w:sz="0" w:space="0" w:color="auto"/>
        <w:left w:val="none" w:sz="0" w:space="0" w:color="auto"/>
        <w:bottom w:val="none" w:sz="0" w:space="0" w:color="auto"/>
        <w:right w:val="none" w:sz="0" w:space="0" w:color="auto"/>
      </w:divBdr>
    </w:div>
    <w:div w:id="1258177788">
      <w:bodyDiv w:val="1"/>
      <w:marLeft w:val="0"/>
      <w:marRight w:val="0"/>
      <w:marTop w:val="0"/>
      <w:marBottom w:val="0"/>
      <w:divBdr>
        <w:top w:val="none" w:sz="0" w:space="0" w:color="auto"/>
        <w:left w:val="none" w:sz="0" w:space="0" w:color="auto"/>
        <w:bottom w:val="none" w:sz="0" w:space="0" w:color="auto"/>
        <w:right w:val="none" w:sz="0" w:space="0" w:color="auto"/>
      </w:divBdr>
      <w:divsChild>
        <w:div w:id="126341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Szwarczewska@mib.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bookshop.europa.eu/pl/wytyczne-z-2014-r.-odno-nie-do-europejskich-najlepszych-praktyk-w-zakresie-mocowania-adunk-w-w-transporcie-drogowym-pbMI061408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7BB570054996A6CB078D011A9848"/>
        <w:category>
          <w:name w:val="Ogólne"/>
          <w:gallery w:val="placeholder"/>
        </w:category>
        <w:types>
          <w:type w:val="bbPlcHdr"/>
        </w:types>
        <w:behaviors>
          <w:behavior w:val="content"/>
        </w:behaviors>
        <w:guid w:val="{C74274D4-B4DF-4155-B4EA-63EDE4201289}"/>
      </w:docPartPr>
      <w:docPartBody>
        <w:p w:rsidR="00342B83" w:rsidRDefault="00863529" w:rsidP="00863529">
          <w:pPr>
            <w:pStyle w:val="A41E7BB570054996A6CB078D011A9848"/>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29"/>
    <w:rsid w:val="00342B83"/>
    <w:rsid w:val="00863529"/>
    <w:rsid w:val="00BF3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3529"/>
    <w:rPr>
      <w:color w:val="808080"/>
    </w:rPr>
  </w:style>
  <w:style w:type="paragraph" w:customStyle="1" w:styleId="A41E7BB570054996A6CB078D011A9848">
    <w:name w:val="A41E7BB570054996A6CB078D011A9848"/>
    <w:rsid w:val="00863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3529"/>
    <w:rPr>
      <w:color w:val="808080"/>
    </w:rPr>
  </w:style>
  <w:style w:type="paragraph" w:customStyle="1" w:styleId="A41E7BB570054996A6CB078D011A9848">
    <w:name w:val="A41E7BB570054996A6CB078D011A9848"/>
    <w:rsid w:val="00863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CE5F7-842E-4E67-BA86-F529A19A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4460</Words>
  <Characters>29623</Characters>
  <Application>Microsoft Office Word</Application>
  <DocSecurity>4</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2017-04-13T12:25:00Z</dcterms:created>
  <dcterms:modified xsi:type="dcterms:W3CDTF">2017-04-13T12:25:00Z</dcterms:modified>
</cp:coreProperties>
</file>